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7b2b" w14:textId="82a7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(подтверждения) квалификационных категорий педагогам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20618. Утратил силу приказом Министра образования и науки Республики Казахстан от 12 ноября 2021 года № 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12.11.2021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присвоения (подтверждения) квалификационных категорий педагогам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192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(подтверждения) квалификационных категорий педагогам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(подтверждения) квалификационной категории педагогам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педагога" и определяют порядок присвоения (подтверждения) квалификационных категорий педагогам.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корректируется по мере необходимости.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квалификационных категорий педагогам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Квалификационные категории присваиваются Комиссией (далее – Комиссия),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(далее – приказ № 83).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процедуры присвоения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"педагог-модератор" - экспертный совет, организуемый на уровне организации образования,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"педагог-эксперт" - экспертный совет, организуемый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неправительственных организаций в области образования, представители профсоюзов, работодателей;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общественных, неправительственных организаций, профсоюзов, работодателей,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направляет материалы в экспертный совет два раза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Экспертный совет рассматривает 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листов наблюдения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Экспертный совет направляет листы оценивания портфолио педагогов на присвоение (подтверждение)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Квалификационная категория "педагог" присваивается лицам, имеющим педагогическое или иное профессиональное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очередного присвоения квалификационных категорий педагогам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Присвоение квалификационной категории принимается решением Комиссии с учетом рекомендаций экспертного совета: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квалификационную категорию "педагог-модератор":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квалификационную категорию "педагог-эксперт":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трех лет, соответствующие следующим профессиональным компетенциям: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квалификационную категорию "педагог-исследователь":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профессиональным компетенциям: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республиканской экспертизе учебников, учебно-методических комплексов и учебно-методических пособий, без предъявления требований к вышеназванным показателям.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квалификационную категорию "педагог-мастер":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или послевузовское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общим требованиям квалификационной категории "педагог-исследователь", кроме того имеет авторскую программу, получившую одобрение на Республиканском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учебно-методическом совете</w:t>
      </w:r>
      <w:r>
        <w:rPr>
          <w:rFonts w:ascii="Times New Roman"/>
          <w:b w:val="false"/>
          <w:i w:val="false"/>
          <w:color w:val="000000"/>
          <w:sz w:val="28"/>
        </w:rPr>
        <w:t>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органом, обеспечивает 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Присвоение квалификационной категории педагогам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"педагог-модератор" - в организациях дошкольного, начального, основного среднего, общего среднего, технического и профессионального, послесреднего образования (далее - организация образования);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"педагог-эксперт" - в отделах образования районов (городов),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квалификационную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каждому педагогу Комиссия выносит одно из следующих решений: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заявленной квалификационной категории;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заявленной квалификационной категории;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соответствует квалификационной категории, ниже заявленной на один уровень.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оформляется протоколом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Комиссии о продлении срока действия квалификационной категории педагогам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Квалификационная категория продлевается на основании заявления педагогов, но не более чем на три года в следующих случаях: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временная нетрудоспособность педагога,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в отпуске по беременности и родам, уходу за ребенком;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нахождение в служебной командировке, на обучении (стажировке) по специальности за пределами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возобновление работы в должности, по которой присвоена квалификационная категория, независимо от причин ее прекращения;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смена места работы в пределах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продлении срока действия квалификационных правил (произвольная форма);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 (возвращается владельцу);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диплома об образовании или документа о переподготовке с присвоением соответствующей квалификации по занимаемой должности;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трудовую деятельность педагога;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обоснованность продления срока действия квалификационной категории.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Приказ о 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"вторая категория" - "педагог-модератор";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"первая категория" - "педагог-эксперт";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"высшая категория" - "педагог-исследователь" и "педагог-мастер".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квалификационной категории осуществляется организациями образования на основании решений Комиссий и соответствующих приказов.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истечения срока действия квалификационной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Педагогам пенсионного возраста, продолжающим осуществлять педагогическую деятельность 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снижается на один уровень.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 занимаемой должности.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B случае преподавания педагогом дисциплин,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категория; очередное присвоение квалификационной категории проводится на общих основаниях при наличии соответствующего документа о повышении квалификации.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Педагоги, преподающие в специальных организациях образования, очередное присвоение квалификационной категории проходят в соответствии с дипломом, по профилю или документом о переподготовке, по соответствующему профилю в организациях образования.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переходе из организации образования в организации,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мастер" до истечения ее срока действия.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по предмету "Самопознание" и сохраняется до истечения срока действия.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специальности по диплому или по предмету "Самопознание".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переподготовки) по вопросам дошкольного воспитания и обучения.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 с учетом ранее присвоенной квалификационной категории.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проводится по занимаемой должности на основании документа о курсах повышения квалификации или курсах переподготовки.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Педагоги, преподающие в специальных организациях образования дисциплины, указанные в дипломе, очередное присвоение квалификационной категории проходят по преподаваемым дисциплинам на основании документа о курсах повышения квалификации или переподготовки.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Педагоги, преподающие в общеобразовательных школах, реализующие инклюзивное образование,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досрочного присвоения квалификационных категорий педагогам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Педагоги на досрочное присвоение квалификационных категорий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сдают национальное квалификационное тестирование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досрочном присвоении квалификационных категорий участвуют следующие категории лиц: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квалификационную категорию "педагог-модератор":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профессионального, послесреднего образования при наличии положительной оценки за педагогическую практику, среднего балла по диплому: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 о высшем, послевузовском образовании – не ниже 3-х баллов показателя GPA;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 о техническом и профессиональном, послесреднем образовании – не ниже 4,5 баллов показателя GPA.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С1 (по шкале CEFR);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квалификационную категорию "педагог-эксперт":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конкурсов, городского (районного) уровня;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областном уровне (городов республиканского значения и столицы);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владеющие английским языком на уровне не ниже С1 (по шкале CEFR) и преподающие предметы на английском языке;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мастерами спорта международного класса по профилирующему предмету.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квалификационную категорию "педагог-исследователь":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республиканском уровне;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ученую степень кандидата наук/доктора или доктора PhD и стаж педагогической работы не менее трех лет;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двух лет.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квалификационную категорию "педагог-мастер":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уполномоченным органом в области образования;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являющиеся победителями профессиональных конкурсов республиканского уровня или участниками международного уровня;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учебно-методическим советом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Порядок работы Комиссии по принятию решения по досрочному присвоению квалификационной категории педагога изложена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Выпускникам высших учебных заведений и организаций технического 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квалификационную категорию "педагог-модератор", присваивается квалификационная категория "педагог".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Лицам, окончившим техническое и профессиональное, послесреднее, высшее, послевузовское учебное заведение, с "отличием" квалификационная категория "педагог-модератор" присваиваются без прохождения национального квалификационного тестирования.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Лицам, являющимся выпускниками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"Болашақ"</w:t>
      </w:r>
      <w:r>
        <w:rPr>
          <w:rFonts w:ascii="Times New Roman"/>
          <w:b w:val="false"/>
          <w:i w:val="false"/>
          <w:color w:val="000000"/>
          <w:sz w:val="28"/>
        </w:rPr>
        <w:t>, а также лицам, вошедшим в Президентский кадровый резерв, выпускникам зарубежных высших учебных заведений, входящих в список рекомендованных для обучения по программе "Болашак",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Квалификационная категория "педагог-модератор"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английский язык: IELTS – 6,5 баллов; TOEFL – 60 - 65 баллов;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С1;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С1.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"педагог-эксперт"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6,5 баллов; TOEFL – 66 - 78 баллов;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С1;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С1.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7 баллов; TOEFL – 79 - 95 баллов;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С2;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С2.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– 7,7 баллов; TOEFL – 96 - 110 баллов;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DELF – С2;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Goethe Zertifikat – С2.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Педагоги иностранных языков, не имеющие вышеназванные сертификаты, проходят процедуру присвоения квалификационной категории на общих основаниях.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 педагогам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приема-передачи портфолио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"___"________ 20__ г.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Председатель Экспертного совета</w:t>
      </w:r>
    </w:p>
    <w:bookmarkEnd w:id="147"/>
    <w:p>
      <w:pPr>
        <w:spacing w:after="0"/>
        <w:ind w:left="0"/>
        <w:jc w:val="both"/>
      </w:pPr>
      <w:bookmarkStart w:name="z156" w:id="14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(соответствующий уровень) (Ф.И.О. (отчество при наличии)</w:t>
      </w:r>
    </w:p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стороны, и</w:t>
      </w:r>
    </w:p>
    <w:bookmarkEnd w:id="149"/>
    <w:p>
      <w:pPr>
        <w:spacing w:after="0"/>
        <w:ind w:left="0"/>
        <w:jc w:val="both"/>
      </w:pPr>
      <w:bookmarkStart w:name="z158" w:id="15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 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(соответствующий уровень) (Ф.И.О. (при наличии)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акт о том, что были переданы и приняты портфолио (в электронном/бумажном формате):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6085"/>
        <w:gridCol w:w="1554"/>
        <w:gridCol w:w="1554"/>
        <w:gridCol w:w="1554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52"/>
      <w:r>
        <w:rPr>
          <w:rFonts w:ascii="Times New Roman"/>
          <w:b w:val="false"/>
          <w:i w:val="false"/>
          <w:color w:val="000000"/>
          <w:sz w:val="28"/>
        </w:rPr>
        <w:t>
      Передал: _______ ____________________________Председатель экспертной комиссии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(Ф.И.О.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 _______________________________________ Председатель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(Ф.И.О. (при наличии)                  присвоению (подтверждению)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квалификационной категории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072"/>
        <w:gridCol w:w="2801"/>
        <w:gridCol w:w="3232"/>
        <w:gridCol w:w="3377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сформированности умений и навыков у воспитанников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3%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7%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10%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повышения уровня сформированности умений и навыков у воспитанников - на 15%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проведения занятий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воспитанников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 (при наличии)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 (при наличии)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 (при наличии)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938"/>
        <w:gridCol w:w="2868"/>
        <w:gridCol w:w="3310"/>
        <w:gridCol w:w="3457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обучающихся1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3%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7%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10%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- на 15%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- классов.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59"/>
    <w:bookmarkStart w:name="z17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193"/>
        <w:gridCol w:w="2194"/>
        <w:gridCol w:w="3065"/>
        <w:gridCol w:w="3215"/>
      </w:tblGrid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знаний обучающихся1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3%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7%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10%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роста качества знаний на 15%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216 часов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объем часов составляет не менее 288 часов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образовательных технологий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методиста с указанием используемых 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заместителя руководителя организации ТиПО 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руководителя организации ТиПО с указанием 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руководителя организации ТиПО с указанием используемых педагогом технологий обучения (не менее трех)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3-х при наличии)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итогов деятельности 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и иных мероприятиях</w:t>
            </w:r>
          </w:p>
        </w:tc>
      </w:tr>
    </w:tbl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организаций дополнительного образования на присвоение (подтверждение) квалификационной категории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69"/>
        <w:gridCol w:w="2618"/>
        <w:gridCol w:w="3021"/>
        <w:gridCol w:w="3156"/>
      </w:tblGrid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40%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60%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80%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освоена на 90%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преподавания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обучающихся, воспитанников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Республиканский/ международный уровень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 образовательной программы)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педагога на присвоение (подтверждение) квалификационной категории (для педагогов специальных организаций образования, специальных классов (групп) в организациях образования)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965"/>
        <w:gridCol w:w="2916"/>
        <w:gridCol w:w="3365"/>
        <w:gridCol w:w="2345"/>
      </w:tblGrid>
      <w:tr>
        <w:trPr>
          <w:trHeight w:val="30" w:hRule="atLeast"/>
        </w:trPr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40%-50%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50%-60%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60%-70%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индивидуальной развивающей программы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70%-80%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 с рекомендациями представителей областных методических кабинетов (центров) (не менее 3)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 педагогического опыта 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организации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района/города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области/городов республиканского значения и столицы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уровень (на основе реализации собственной авторской идеи)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</w:t>
            </w:r>
          </w:p>
        </w:tc>
      </w:tr>
    </w:tbl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 советом соответствующего уровня), проведение семинаров, мастер классов.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74"/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1039"/>
        <w:gridCol w:w="1163"/>
        <w:gridCol w:w="2802"/>
        <w:gridCol w:w="3054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оценивания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Педагог-модератор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Педагог-эксперт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Педагог-исследователь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(районный/городской уровень)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уровень)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или международный уровень)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3-х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4-х, в том числе не менее 2-х – республиканского уровня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5-ти, в том числе не менее 3-х – республиканского и международного уровня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уроков/занятий педагогов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менее10)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15)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уроков/занятий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20)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участии с представлением промежуточных/итоговых результатов, подписанная руководителем организации образования; копии рецензий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 или рабочих группах республиканского уровня</w:t>
            </w: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19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уроков/занятий (допускается видеозапись урока/занятия)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1"/>
        <w:gridCol w:w="6083"/>
        <w:gridCol w:w="38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 урока: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Предмет: Тема: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Наблюдатель: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(v)</w:t>
            </w: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 план урока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целям обучения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 потребности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развитие исследовательских навыков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вовлекает обучающихся в постановку целей урока и ожидаемых результатов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каждом этапе урока педагог вовлекает всех обучающихся в активное обучение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изучения учебного материала педагог обеспечивает: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потребностей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способностей обучающихся/воспитанников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урока педагог использует ресурсы ИКТ: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собственные цифровые образовательные ресурсы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задействует сетевые ресурсы для совместной работы учащихся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вовлекает обучающихся/воспитанников в процесс оценивания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элементы наблюдения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 и рекомендации:</w:t>
            </w:r>
          </w:p>
        </w:tc>
      </w:tr>
    </w:tbl>
    <w:p>
      <w:pPr>
        <w:spacing w:after="0"/>
        <w:ind w:left="0"/>
        <w:jc w:val="both"/>
      </w:pPr>
      <w:bookmarkStart w:name="z197" w:id="186"/>
      <w:r>
        <w:rPr>
          <w:rFonts w:ascii="Times New Roman"/>
          <w:b w:val="false"/>
          <w:i w:val="false"/>
          <w:color w:val="000000"/>
          <w:sz w:val="28"/>
        </w:rPr>
        <w:t>
      Наблюдатель: 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ФИО (при наличии)</w:t>
      </w:r>
    </w:p>
    <w:bookmarkStart w:name="z1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наблюдения занятий (для педагогов специальных организаций образования, специальных классов (групп) в организациях образования (допускается видеозапись урока)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6449"/>
        <w:gridCol w:w="1534"/>
        <w:gridCol w:w="1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наблюдения занятия: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или возраст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Предмет: Тема: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Наблюдатель: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наблюдения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(v)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индивидуальная развивающая программа или коррекционно-развивающая 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соответствуют поставленным целям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коррекцию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занятия педагог: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дидактический материал и ресурсы ИКТ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элементы наблюдения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Обратная связь и рекомендации:</w:t>
            </w:r>
          </w:p>
        </w:tc>
      </w:tr>
    </w:tbl>
    <w:p>
      <w:pPr>
        <w:spacing w:after="0"/>
        <w:ind w:left="0"/>
        <w:jc w:val="both"/>
      </w:pPr>
      <w:bookmarkStart w:name="z201" w:id="190"/>
      <w:r>
        <w:rPr>
          <w:rFonts w:ascii="Times New Roman"/>
          <w:b w:val="false"/>
          <w:i w:val="false"/>
          <w:color w:val="000000"/>
          <w:sz w:val="28"/>
        </w:rPr>
        <w:t>
      Наблюдатель: ____________________________________________________________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ФИО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20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педагога организации дошкольного воспитания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 обучения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(заявляемая квалификационная категория)</w:t>
      </w:r>
    </w:p>
    <w:bookmarkEnd w:id="191"/>
    <w:p>
      <w:pPr>
        <w:spacing w:after="0"/>
        <w:ind w:left="0"/>
        <w:jc w:val="both"/>
      </w:pPr>
      <w:bookmarkStart w:name="z204" w:id="192"/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уровня сформированности умений и навыков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занятий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педагога организации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(заявляемая квалификационная категория)</w:t>
      </w:r>
    </w:p>
    <w:bookmarkEnd w:id="193"/>
    <w:p>
      <w:pPr>
        <w:spacing w:after="0"/>
        <w:ind w:left="0"/>
        <w:jc w:val="both"/>
      </w:pPr>
      <w:bookmarkStart w:name="z206" w:id="194"/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оценивания портфолио педагога организации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195"/>
    <w:p>
      <w:pPr>
        <w:spacing w:after="0"/>
        <w:ind w:left="0"/>
        <w:jc w:val="both"/>
      </w:pPr>
      <w:bookmarkStart w:name="z208" w:id="196"/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уровня освоения выбранной образовательной 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уроков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Лист оценивания портфолио педагога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 xml:space="preserve"> квалификационной категории (для педагогов специальных организаций образования,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специальных классов (групп) в организациях образования)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197"/>
    <w:p>
      <w:pPr>
        <w:spacing w:after="0"/>
        <w:ind w:left="0"/>
        <w:jc w:val="both"/>
      </w:pPr>
      <w:bookmarkStart w:name="z210" w:id="198"/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6"/>
        <w:gridCol w:w="804"/>
      </w:tblGrid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результативности деятельности специалиста по реализации индивидуальной развивающей программы (за исключением педагогов ПМПК)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наблюдения коррекционно-развивающих занятий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педагогов ПМПК)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Лист оценивания портфолио методистов методических кабинетов (центров)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(заявляемая квалификационная категория)</w:t>
      </w:r>
    </w:p>
    <w:bookmarkEnd w:id="200"/>
    <w:p>
      <w:pPr>
        <w:spacing w:after="0"/>
        <w:ind w:left="0"/>
        <w:jc w:val="both"/>
      </w:pPr>
      <w:bookmarkStart w:name="z213" w:id="201"/>
      <w:r>
        <w:rPr>
          <w:rFonts w:ascii="Times New Roman"/>
          <w:b w:val="false"/>
          <w:i w:val="false"/>
          <w:color w:val="000000"/>
          <w:sz w:val="28"/>
        </w:rPr>
        <w:t>
      Педагог: _________________________________________________________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3"/>
        <w:gridCol w:w="557"/>
      </w:tblGrid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портфолио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подтверждающих 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проектах, исследовательской, инновационной,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bookmarkStart w:name="z21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 экспертного совета по комплексному аналитическому обобщению итогов деятельности педагога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квалификационная категория ___________________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4918"/>
        <w:gridCol w:w="1255"/>
        <w:gridCol w:w="2042"/>
        <w:gridCol w:w="2830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уровень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экспертного совета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совета:</w:t>
      </w:r>
    </w:p>
    <w:bookmarkEnd w:id="204"/>
    <w:p>
      <w:pPr>
        <w:spacing w:after="0"/>
        <w:ind w:left="0"/>
        <w:jc w:val="both"/>
      </w:pPr>
      <w:bookmarkStart w:name="z218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 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 _________ _____ г.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на присвоение (подтверждение)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квалификационной категории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"___"___________________ 20____ года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Соответствуют заявленной квалификационной категории, следующие педагоги: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211"/>
        <w:gridCol w:w="820"/>
        <w:gridCol w:w="1908"/>
        <w:gridCol w:w="1847"/>
        <w:gridCol w:w="1847"/>
        <w:gridCol w:w="184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Обязательная/ досрочная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соответствуют заявленной квалификационной категории следующие педагоги: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010"/>
        <w:gridCol w:w="768"/>
        <w:gridCol w:w="1789"/>
        <w:gridCol w:w="1732"/>
        <w:gridCol w:w="1732"/>
        <w:gridCol w:w="1732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Обязательная/ досрочная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квалификационная категория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Присвоенная квалификационная 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1" w:id="2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заседания Комиссии о продлении срока 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квалификационной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"___"___________________ 20____ года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Продлить сроки квалификационной категории педагогам: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4737"/>
        <w:gridCol w:w="1209"/>
        <w:gridCol w:w="1967"/>
        <w:gridCol w:w="1967"/>
        <w:gridCol w:w="1211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наличии)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квалификационная категория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 до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224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УДОСТОВЕРЕНИЕ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педагога о присвоении (подтверждении) квалификационной категории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_________________________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(ФИО (при наличии), подпись)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в соответствии с решением Комиссии по присвоению (подтверждению) квалификационных категорий от "___" ________ 20___ приказом</w:t>
      </w:r>
    </w:p>
    <w:bookmarkEnd w:id="229"/>
    <w:p>
      <w:pPr>
        <w:spacing w:after="0"/>
        <w:ind w:left="0"/>
        <w:jc w:val="both"/>
      </w:pPr>
      <w:bookmarkStart w:name="z249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образования или органа управления образования)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"____" ____20 _______ года присвоена (подтверждена) квалификационная категория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по должности</w:t>
      </w:r>
    </w:p>
    <w:bookmarkEnd w:id="232"/>
    <w:p>
      <w:pPr>
        <w:spacing w:after="0"/>
        <w:ind w:left="0"/>
        <w:jc w:val="both"/>
      </w:pPr>
      <w:bookmarkStart w:name="z252" w:id="2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должности)</w:t>
      </w:r>
    </w:p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действительно до "____"______________20____года</w:t>
      </w:r>
    </w:p>
    <w:bookmarkEnd w:id="234"/>
    <w:p>
      <w:pPr>
        <w:spacing w:after="0"/>
        <w:ind w:left="0"/>
        <w:jc w:val="both"/>
      </w:pPr>
      <w:bookmarkStart w:name="z254" w:id="235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образования _____________________________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(ФИО (при наличии), подпись)</w:t>
      </w:r>
    </w:p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 20 ____ года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выдачи удостоверений о присвоении (подтверждении) квалификационной категории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350"/>
        <w:gridCol w:w="2482"/>
        <w:gridCol w:w="1024"/>
        <w:gridCol w:w="1666"/>
        <w:gridCol w:w="1670"/>
        <w:gridCol w:w="1025"/>
        <w:gridCol w:w="1310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(при наличии)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присвоении/ подтверждении и квалификационной категории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 в получении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