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ac61" w14:textId="44ba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декабря 2019 года № 1668/36. Зарегистрировано Департаментом юстиции Карагандинской области 24 декабря 2019 года № 5603.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информационно-правовой системе "Әділет" от 15 мая 2015 года, в газете "Шахтинский вестник" от 15 мая 2015 года № 19),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наличие социально значимого заболевания "туберкулез" в период амбулаторного лечения;";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наличие социально значимого заболевания "злокачественные новообразования" на период послеоперационного лечения.";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Основаниями для отнесения граждан к категории нуждающихся при наступлении трудной жизненной ситуации являются: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(семье), его имуществу вследствие стихийного бедствия или пожара, либо наличие социально значимого заболевания;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 "туберкулез" в период амбулаторного лечения;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социально значимого заболевания "злокачественные новообразования" на период послеоперационного лечения;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среднедушевого дохода, не превышающего 0,6 кратного размера прожиточного минимума.";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Предельный размер социальной помощи – не более 378 месячных расчетных показателей.";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