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64a9" w14:textId="06e6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224. Зарегистрировано в Министерстве юстиции Республики Казахстан 3 декабря 2019 года № 19671. Утратило силу постановлением Правления Национального Банка Республики Казахстан от 24 ноября 2025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 выполнении пруденциальных нормативов и иных обязательных к соблюдению норм и лимитов организации,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2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выполнении пруденциальных нормативов и иных обязательных к соблюдению норм и лимитов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2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расшифровке активов, взвешенных с учетом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2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расшифровке максимального размера риска на одного заемщика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"/>
    <w:bookmarkStart w:name="z2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об уставном и собственном капиталах, а также о коэффициенте левереджа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2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 выполнении пруденциальных нормативов и иных обязательных к соблюдению норм и лимитов организации, осуществляющей микрофинансовую деятельность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выполнении пруденциальных нормативов и иных обязательных к соблюдению норм и лимитов организации, осуществляющей микрофинансовую деятельность, включает в себя:</w:t>
      </w:r>
    </w:p>
    <w:bookmarkEnd w:id="17"/>
    <w:bookmarkStart w:name="z2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выполнении пруденциальных нормативов и иных обязательных к соблюдению норм и лимитов;</w:t>
      </w:r>
    </w:p>
    <w:bookmarkEnd w:id="18"/>
    <w:bookmarkStart w:name="z2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расшифровке активов, взвешенных с учетом кредитного риска;</w:t>
      </w:r>
    </w:p>
    <w:bookmarkEnd w:id="19"/>
    <w:bookmarkStart w:name="z2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расшифровке максимального размера риска на одного заемщика;</w:t>
      </w:r>
    </w:p>
    <w:bookmarkEnd w:id="20"/>
    <w:bookmarkStart w:name="z2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уставном и собственном капиталах, а также о коэффициенте левереджа.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"/>
    <w:p>
      <w:pPr>
        <w:spacing w:after="0"/>
        <w:ind w:left="0"/>
        <w:jc w:val="both"/>
      </w:pPr>
      <w:bookmarkStart w:name="z223" w:id="2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2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 иных обязательных к соблюдению норм и лимитов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5" w:id="2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PN-1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(коэффициент,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в процентах)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микрофинансовой организации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взвешенные по степени кредитного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k1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с просроченной задолженностью по основному долгу, начисленному вознаграждению свыше 90 (девяносто) календарных дней, учитываемые микрофинансовой организацией на балансовых счетах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списанные на внебалансовый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Ссудный портфель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 долю просроченной задолженности по основному долгу, начисленному вознаграждению свыше 90 (девяноста) календарных дней в общей сумме ссудного портфеля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максимального размера риска на одного заемщика k2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5" w:id="4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"Отчет о выполнении пруденциальных нормативов и иных обязательных к соблюдению норм и лимитов"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выполнении пруденциальных нормативов и иных обязательных</w:t>
      </w:r>
      <w:r>
        <w:br/>
      </w:r>
      <w:r>
        <w:rPr>
          <w:rFonts w:ascii="Times New Roman"/>
          <w:b/>
          <w:i w:val="false"/>
          <w:color w:val="000000"/>
        </w:rPr>
        <w:t>к соблюдению норм и лимитов</w:t>
      </w:r>
      <w:r>
        <w:br/>
      </w:r>
      <w:r>
        <w:rPr>
          <w:rFonts w:ascii="Times New Roman"/>
          <w:b/>
          <w:i w:val="false"/>
          <w:color w:val="000000"/>
        </w:rPr>
        <w:t>(индекс – PN-1, периодичность – ежемесячная)</w:t>
      </w:r>
    </w:p>
    <w:bookmarkEnd w:id="50"/>
    <w:bookmarkStart w:name="z14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3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и иных обязательных к соблюдению норм и лимитов" (далее – Форма).</w:t>
      </w:r>
    </w:p>
    <w:bookmarkEnd w:id="52"/>
    <w:bookmarkStart w:name="z3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53"/>
    <w:bookmarkStart w:name="z3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4"/>
    <w:bookmarkStart w:name="z3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55"/>
    <w:bookmarkStart w:name="z32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3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11 отражается сумма, соответствующая сумме в графе 5 строки 6 отчета о расшифровке активов, взвешенных с учетом кредитного риска.</w:t>
      </w:r>
    </w:p>
    <w:bookmarkEnd w:id="57"/>
    <w:bookmarkStart w:name="z3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12.1 отражается сумма основного долга и начисленного вознаграждения по микрокредитам с просроченной задолженностью по основному долгу, начисленному вознаграждению свыше 90 (девяноста) календарных дней.</w:t>
      </w:r>
    </w:p>
    <w:bookmarkEnd w:id="58"/>
    <w:bookmarkStart w:name="z3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12.2 отражается сумма основного долга и начисленного вознаграждения по микрокредитам, списанным на внебалансовый учет.</w:t>
      </w:r>
    </w:p>
    <w:bookmarkEnd w:id="59"/>
    <w:bookmarkStart w:name="z3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12.3 отражается ссудный портфель микрофинансовой организации (без учета операций "Обратное репо"), который включает в себя сумму основного долга и начисленного вознаграждения, учитываемых микрофинансовой организацией на балансовых счетах.</w:t>
      </w:r>
    </w:p>
    <w:bookmarkEnd w:id="60"/>
    <w:bookmarkStart w:name="z3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12.4 указывается значение в процентном выражении с тремя знаками после запятой.</w:t>
      </w:r>
    </w:p>
    <w:bookmarkEnd w:id="61"/>
    <w:bookmarkStart w:name="z3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13 отражается сумма, соответствующая сумме в графе 18 отчета о расшифровке максимального размера риска на одного заемщика.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12, 14 и 16 указываются значения с тремя знаками после запятой.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3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3"/>
    <w:p>
      <w:pPr>
        <w:spacing w:after="0"/>
        <w:ind w:left="0"/>
        <w:jc w:val="both"/>
      </w:pPr>
      <w:bookmarkStart w:name="z331" w:id="6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33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2-1 в соответствии с постановлением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3" w:id="6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PN-2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актива, подлежащего взвешиванию по степени кредитного риска (справочник)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активы, взвешенные по степени кредитного риска: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3" w:id="7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"Отчет о расшифровке активов, взвешенных с учетом кредитного риска"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36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активов, взвешенных с учетом кредитного риска</w:t>
      </w:r>
      <w:r>
        <w:br/>
      </w:r>
      <w:r>
        <w:rPr>
          <w:rFonts w:ascii="Times New Roman"/>
          <w:b/>
          <w:i w:val="false"/>
          <w:color w:val="000000"/>
        </w:rPr>
        <w:t>(индекс – PN-2, периодичность – ежемесячная)</w:t>
      </w:r>
    </w:p>
    <w:bookmarkEnd w:id="72"/>
    <w:bookmarkStart w:name="z36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3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активов, взвешенных с учетом кредитного риска" (далее – Форма).</w:t>
      </w:r>
    </w:p>
    <w:bookmarkEnd w:id="74"/>
    <w:bookmarkStart w:name="z3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75"/>
    <w:bookmarkStart w:name="z3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6"/>
    <w:bookmarkStart w:name="z3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77"/>
    <w:bookmarkStart w:name="z37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8"/>
    <w:bookmarkStart w:name="z3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заполнении Формы указываются сведения, рассчитанные в соответствии с пруденциальными нормативами и иными обязательными к соблюдению организацией, осуществляющей микрофинансовую деятельность, нормами и лимитами, методикой их расчетов,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расчетов", зарегистрированным в Реестре государственной регистрации нормативных правовых актов под № 19629 (далее – Пруденциальные нормативы).</w:t>
      </w:r>
    </w:p>
    <w:bookmarkEnd w:id="79"/>
    <w:bookmarkStart w:name="z3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значения вида группы выбираются из справочника "Справочник группы", размещенных в информационной системе, посредством которой представляется Форма.</w:t>
      </w:r>
    </w:p>
    <w:bookmarkEnd w:id="80"/>
    <w:bookmarkStart w:name="z3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значения выбираются из справочника "Вид актива, подлежащего взвешиванию по степени кредитного риска", размещенных в информационной системе, посредством которой представляется Форма.</w:t>
      </w:r>
    </w:p>
    <w:bookmarkEnd w:id="81"/>
    <w:bookmarkStart w:name="z3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4 указывается сумма активов по балансовой стоимости за вычетом провизий (резервов), сформированных в соответствии с Правилами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них", зарегистрированным в Реестре государственной регистрации нормативных правовых актов под № 16858, подлежащих взвешиванию по степени кредитного риска.</w:t>
      </w:r>
    </w:p>
    <w:bookmarkEnd w:id="82"/>
    <w:bookmarkStart w:name="z3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5 указывается степень риска в процентах для каждой группы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Пруденциальным нормативам</w:t>
      </w:r>
      <w:r>
        <w:rPr>
          <w:rFonts w:ascii="Times New Roman"/>
          <w:b w:val="false"/>
          <w:i w:val="false"/>
          <w:color w:val="000000"/>
          <w:sz w:val="28"/>
        </w:rPr>
        <w:t>. Значения степени риска в процентах выбираются из справочников, размещенных в информационной системе, посредством которой представляется Форма.</w:t>
      </w:r>
    </w:p>
    <w:bookmarkEnd w:id="83"/>
    <w:bookmarkStart w:name="z3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сумма активов, указанная в графе 4, умноженная на степень риска в процентах (графа 5).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 случае отсутствия сведений Форма представляется без заполнения.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6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5"/>
    <w:p>
      <w:pPr>
        <w:spacing w:after="0"/>
        <w:ind w:left="0"/>
        <w:jc w:val="both"/>
      </w:pPr>
      <w:bookmarkStart w:name="z161" w:id="8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16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максимального размера риска на одного заемщика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3" w:id="8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R_MRZ_1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номер, бизнес-идентификационный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займу (микрокредиту)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в случае соответствия критериям признания актива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(премия)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принятые Лондонской ассоциацией рынка драгоценных металлов (London billion market association) и обозначенные в документах данной ассоциации как стандарт "Лондонская качественная поставка" ("London good delivery")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банков, имеющих долгосрочный долговой рейтинг не ниже "А" рейтингового агентства Стандард энд Пурс (Standard &amp; Poor’s) или рейтинг аналогичного уровня одного из других рейтинговых агентств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с баланса в отчетном периоде по займу (микрокредиту)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дебиторской задолженности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(штрафы, пени) в случае соответствия критериям признания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0" w:id="9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"Отчет о расшифровке максимального размера риска на одного заемщика"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7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максимального размера риска на одного заемщика</w:t>
      </w:r>
      <w:r>
        <w:br/>
      </w:r>
      <w:r>
        <w:rPr>
          <w:rFonts w:ascii="Times New Roman"/>
          <w:b/>
          <w:i w:val="false"/>
          <w:color w:val="000000"/>
        </w:rPr>
        <w:t>(индекс – R_MRZ_1, периодичность – ежемесячная)</w:t>
      </w:r>
    </w:p>
    <w:bookmarkEnd w:id="92"/>
    <w:bookmarkStart w:name="z17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3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максимального размера риска на одного заемщика" (далее – Форма).</w:t>
      </w:r>
    </w:p>
    <w:bookmarkEnd w:id="94"/>
    <w:bookmarkStart w:name="z3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95"/>
    <w:bookmarkStart w:name="z3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96"/>
    <w:bookmarkStart w:name="z3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97"/>
    <w:bookmarkStart w:name="z38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8"/>
    <w:bookmarkStart w:name="z3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данные по одному заемщику микрофинансовой организации, у которого на отчетную дату имеется максимальная совокупная задолженность по сравнению с остальными заемщиками.</w:t>
      </w:r>
    </w:p>
    <w:bookmarkEnd w:id="99"/>
    <w:bookmarkStart w:name="z3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на отчетную дату максимальная совокупная задолженность составила одинаковую величину по нескольким заемщикам, то в Форме отражаются данные только по одному (любому) из этих заемщиков.</w:t>
      </w:r>
    </w:p>
    <w:bookmarkEnd w:id="100"/>
    <w:bookmarkStart w:name="z3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заполнении Формы указываются сведения, рассчитанные в соответствии с пруденциальными нормативами и иными обязательными к соблюдению организацией, осуществляющей микрофинансовую деятельность, нормами и лимитами, методикой их расчетов,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расчетов", зарегистрированным в Реестре государственной регистрации нормативных правовых актов под № 19629.</w:t>
      </w:r>
    </w:p>
    <w:bookmarkEnd w:id="101"/>
    <w:bookmarkStart w:name="z3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 и 13 Формы указывается сумма начисленного, но не погашенного (не полученного) вознаграждения.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8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3"/>
    <w:p>
      <w:pPr>
        <w:spacing w:after="0"/>
        <w:ind w:left="0"/>
        <w:jc w:val="both"/>
      </w:pPr>
      <w:bookmarkStart w:name="z185" w:id="10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18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уставном и собственном капиталах, а также о коэффициенте левереджа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87" w:id="10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USK-K3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кредитного товарищества перед национальными управляющими холдингами и дочерними организациями национального управляющего холдинга в сфере агропромышленного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2" w:id="10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9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"Отчет об уставном и собственном капиталах, а также о коэффициенте левереджа"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Приложению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9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уставном и собственном капиталах, а также о коэффициенте левереджа</w:t>
      </w:r>
      <w:r>
        <w:br/>
      </w:r>
      <w:r>
        <w:rPr>
          <w:rFonts w:ascii="Times New Roman"/>
          <w:b/>
          <w:i w:val="false"/>
          <w:color w:val="000000"/>
        </w:rPr>
        <w:t>(индекс - USK-K3, периодичность - ежеквартальная)</w:t>
      </w:r>
    </w:p>
    <w:bookmarkEnd w:id="109"/>
    <w:bookmarkStart w:name="z39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3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об уставном и собственном капиталах, а также о коэффициенте левереджа" (далее – Форма).</w:t>
      </w:r>
    </w:p>
    <w:bookmarkEnd w:id="111"/>
    <w:bookmarkStart w:name="z3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Казахстан".</w:t>
      </w:r>
    </w:p>
    <w:bookmarkEnd w:id="112"/>
    <w:bookmarkStart w:name="z3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кредитным товариществом.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13"/>
    <w:bookmarkStart w:name="z3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14"/>
    <w:bookmarkStart w:name="z39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5"/>
    <w:bookmarkStart w:name="z4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13 Формы указывается значение с тремя знаками после запятой.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1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22.08.2024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 (далее – Организация), в территориальный филиал Национального Банка Республики Казахстан по месту ее нахождения (далее – филиал Национального Банка).</w:t>
      </w:r>
    </w:p>
    <w:bookmarkEnd w:id="118"/>
    <w:bookmarkStart w:name="z4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Резидентство клиента и (или) контрагента Организации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контроле".</w:t>
      </w:r>
    </w:p>
    <w:bookmarkEnd w:id="119"/>
    <w:bookmarkStart w:name="z4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представляется Организацией в электронном виде посредством использования информационной системы "Веб-портал Национального Банка Республики Казахстан".</w:t>
      </w:r>
    </w:p>
    <w:bookmarkEnd w:id="120"/>
    <w:bookmarkStart w:name="z40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обеспечивается руководителем Организации или лицом, на которое возложена функция по подписанию отчета.</w:t>
      </w:r>
    </w:p>
    <w:bookmarkEnd w:id="121"/>
    <w:bookmarkStart w:name="z4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Микрофинансовая организация ежемесячно, не позднее 25 (двадцать пятого) числа месяца, следующего за отчетным месяцем, представляет в филиал Национального Банка в электронном формате отчетность, предусмотренную в подпунктах 2) – 4) пункта 1 настоящего постановления.</w:t>
      </w:r>
    </w:p>
    <w:bookmarkEnd w:id="122"/>
    <w:bookmarkStart w:name="z40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Кредитное товарищество ежеквартально, не позднее 25 (двадцать пятого) числа месяца, следующего за отчетным кварталом, представляет в филиал Национального Банка в электронном формате отчетность, предусмотренную в подпункте 5) пункта 1 настоящего постановления.</w:t>
      </w:r>
    </w:p>
    <w:bookmarkEnd w:id="123"/>
    <w:bookmarkStart w:name="z40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в отчетности указываются в национальной валюте Республики Казахстан – тенге.</w:t>
      </w:r>
    </w:p>
    <w:bookmarkEnd w:id="124"/>
    <w:bookmarkStart w:name="z40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Отчетность, подписанная руководителем Организации или лицом, на которое возложена функция по подписанию отчета, и исполнителем посредством электронной цифровой подписи, хранится в электронном формате.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