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1aa7" w14:textId="1611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мая 2019 года № 260. Зарегистрирован в Министерстве юстиции Республики Казахстан 23 мая 2019 года № 18719.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10007, опубликован 8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товаров, работ, услуг в сфере информатизации;";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Форма 01-161 (приложение 48) предназначена для расчета расходов на служебные командировки внутри страны.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государственными учреждениями при расчете расходов по спецификам 136 "Командировки и служебные разъезды внутри страны технического персонала", 137 "Командировочные расходы присяжных заседателей", 161 "Командировки и служебные разъезды внутри страны".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расходов по форме 01-161 следует руководствоваться постановлениями Правительства Республики Казахстан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 в пределах Республики Казахстан работников государственных учреждений, содержащихся за счет государственного бюджета, а также 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№ 256).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Форма 01-162 (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>) заполняется государственными учреждениями для расчета расходов на служебные командировки за пределы страны.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данного расчета следует руководствоваться постановлением № 256.";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бюджетной заявки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01-123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Расчет размера страховой премии при обязательном страховании гражданско-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правовой ответственности владельцев транспортных средств</w:t>
      </w:r>
    </w:p>
    <w:bookmarkEnd w:id="14"/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Коды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                 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данных (прогноз, план, отчет)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программ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           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Специфика                         |______________|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(далее – трансп. средства)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 по типу транспортных средств*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пассажирских мест включительно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16 пассажирских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Троллейбусы, трамваи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Мототранспорт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(полуприцепы)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 **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центрального исполнительного органа/руководитель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бюджетной программы 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/начальник финансово- 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графа заполняется в соответствии с Законом Республики Казахстан от 1 июля 2003 года "Об обязательном страховании гражданско-правовой ответственности владельцев транспортных средств"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графа рассчитывается следующим образом: ((1,9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3)+(1,9 х графа 2 х 1,2 х коэффициент по территории регистрации трансп. средств (для столицы, города республиканского значения и города областного значения) х графа 4)+(1,9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5)+(1,9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6)+(1,9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7)+(1,9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8)+(1,9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9)+(1,9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10)+(1,9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11)+(1,9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гр.12)+(1,9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13)+(1,9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14)+(1,9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15)+(1,9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16)+(1,9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17)+ (1,9 х графа 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18)+(1,9 х графа.2 х 1,2 х коэффициент по территории регистрации транспортного средства (для столицы, города республиканского значения и города областного значения) х графа 19)) х МРП/1000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