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219" w14:textId="3c93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июня 2018 года № 272. Зарегистрировано Департаментом юстиции Костанайской области 27 июня 2018 года № 7904.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(зарегистрировано в Реестре государственной регистрации нормативных правовых актов под № 6062, опубликовано 26 декабря 2015 года в газете "Қостанай таңы")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заявления,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регистрирует заявление и выдает услугополучателю расписку о приеме соответствующего заявления, 5 (пять)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заявление, подготавливает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день до истечения срока оказания государственной услуги, 29 (двадцать девять) календарных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корпорации,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полномочия), выдает результат оказания государственной услуги услугополучателю, 5 (пять)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качества для целей,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питьевым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хозяйственно-бытовым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где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поверхностные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достаточные 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8961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