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0bbe" w14:textId="e9e0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80. Зарегистрировано в Министерстве юстиции Республики Казахстан 6 июня 2018 года № 17005.</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Закона Республики Казахстан "О рынке ценных бумаг" (далее – Закон о рынке ценных бумаг) и </w:t>
      </w:r>
      <w:r>
        <w:rPr>
          <w:rFonts w:ascii="Times New Roman"/>
          <w:b w:val="false"/>
          <w:i w:val="false"/>
          <w:color w:val="000000"/>
          <w:sz w:val="28"/>
        </w:rPr>
        <w:t>подпунктом 9-3)</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w:t>
      </w:r>
    </w:p>
    <w:bookmarkEnd w:id="1"/>
    <w:bookmarkStart w:name="z483" w:id="2"/>
    <w:p>
      <w:pPr>
        <w:spacing w:after="0"/>
        <w:ind w:left="0"/>
        <w:jc w:val="both"/>
      </w:pPr>
      <w:r>
        <w:rPr>
          <w:rFonts w:ascii="Times New Roman"/>
          <w:b w:val="false"/>
          <w:i w:val="false"/>
          <w:color w:val="000000"/>
          <w:sz w:val="28"/>
        </w:rPr>
        <w:t>
      1) следующие пруденциальные нормативы:</w:t>
      </w:r>
    </w:p>
    <w:bookmarkEnd w:id="2"/>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p>
      <w:pPr>
        <w:spacing w:after="0"/>
        <w:ind w:left="0"/>
        <w:jc w:val="both"/>
      </w:pPr>
      <w:r>
        <w:rPr>
          <w:rFonts w:ascii="Times New Roman"/>
          <w:b w:val="false"/>
          <w:i w:val="false"/>
          <w:color w:val="000000"/>
          <w:sz w:val="28"/>
        </w:rPr>
        <w:t>
      К2-1 – не менее 1;</w:t>
      </w:r>
    </w:p>
    <w:p>
      <w:pPr>
        <w:spacing w:after="0"/>
        <w:ind w:left="0"/>
        <w:jc w:val="both"/>
      </w:pPr>
      <w:r>
        <w:rPr>
          <w:rFonts w:ascii="Times New Roman"/>
          <w:b w:val="false"/>
          <w:i w:val="false"/>
          <w:color w:val="000000"/>
          <w:sz w:val="28"/>
        </w:rPr>
        <w:t>
      К2-2 – не менее 0,9;</w:t>
      </w:r>
    </w:p>
    <w:p>
      <w:pPr>
        <w:spacing w:after="0"/>
        <w:ind w:left="0"/>
        <w:jc w:val="both"/>
      </w:pPr>
      <w:r>
        <w:rPr>
          <w:rFonts w:ascii="Times New Roman"/>
          <w:b w:val="false"/>
          <w:i w:val="false"/>
          <w:color w:val="000000"/>
          <w:sz w:val="28"/>
        </w:rPr>
        <w:t>
      К2-3 – не менее 0,8;</w:t>
      </w:r>
    </w:p>
    <w:p>
      <w:pPr>
        <w:spacing w:after="0"/>
        <w:ind w:left="0"/>
        <w:jc w:val="both"/>
      </w:pPr>
      <w:r>
        <w:rPr>
          <w:rFonts w:ascii="Times New Roman"/>
          <w:b w:val="false"/>
          <w:i w:val="false"/>
          <w:color w:val="000000"/>
          <w:sz w:val="28"/>
        </w:rPr>
        <w:t>
      К2-4 – не менее 0,5.";</w:t>
      </w:r>
    </w:p>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2. Утвердить:</w:t>
      </w:r>
    </w:p>
    <w:bookmarkEnd w:id="3"/>
    <w:p>
      <w:pPr>
        <w:spacing w:after="0"/>
        <w:ind w:left="0"/>
        <w:jc w:val="both"/>
      </w:pPr>
      <w:r>
        <w:rPr>
          <w:rFonts w:ascii="Times New Roman"/>
          <w:b w:val="false"/>
          <w:i w:val="false"/>
          <w:color w:val="000000"/>
          <w:sz w:val="28"/>
        </w:rPr>
        <w:t xml:space="preserve">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9" w:id="5"/>
    <w:p>
      <w:pPr>
        <w:spacing w:after="0"/>
        <w:ind w:left="0"/>
        <w:jc w:val="both"/>
      </w:pPr>
      <w:r>
        <w:rPr>
          <w:rFonts w:ascii="Times New Roman"/>
          <w:b w:val="false"/>
          <w:i w:val="false"/>
          <w:color w:val="000000"/>
          <w:sz w:val="28"/>
        </w:rPr>
        <w:t>
      4.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5"/>
    <w:bookmarkStart w:name="z2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2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22" w:id="8"/>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8"/>
    <w:bookmarkStart w:name="z2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9"/>
    <w:bookmarkStart w:name="z24" w:id="10"/>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25"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26" w:id="12"/>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 Председатель Комитета по статистике</w:t>
      </w:r>
    </w:p>
    <w:p>
      <w:pPr>
        <w:spacing w:after="0"/>
        <w:ind w:left="0"/>
        <w:jc w:val="both"/>
      </w:pPr>
      <w:r>
        <w:rPr>
          <w:rFonts w:ascii="Times New Roman"/>
          <w:b w:val="false"/>
          <w:i w:val="false"/>
          <w:color w:val="000000"/>
          <w:sz w:val="28"/>
        </w:rPr>
        <w:t xml:space="preserve">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____________________Н. Айдапкелов</w:t>
      </w:r>
    </w:p>
    <w:p>
      <w:pPr>
        <w:spacing w:after="0"/>
        <w:ind w:left="0"/>
        <w:jc w:val="both"/>
      </w:pPr>
      <w:r>
        <w:rPr>
          <w:rFonts w:ascii="Times New Roman"/>
          <w:b w:val="false"/>
          <w:i w:val="false"/>
          <w:color w:val="000000"/>
          <w:sz w:val="28"/>
        </w:rPr>
        <w:t xml:space="preserve"> 22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30" w:id="14"/>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14"/>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372" w:id="15"/>
    <w:p>
      <w:pPr>
        <w:spacing w:after="0"/>
        <w:ind w:left="0"/>
        <w:jc w:val="left"/>
      </w:pPr>
      <w:r>
        <w:rPr>
          <w:rFonts w:ascii="Times New Roman"/>
          <w:b/>
          <w:i w:val="false"/>
          <w:color w:val="000000"/>
        </w:rPr>
        <w:t xml:space="preserve"> Глава 1. Общие положения</w:t>
      </w:r>
    </w:p>
    <w:bookmarkEnd w:id="15"/>
    <w:bookmarkStart w:name="z373" w:id="16"/>
    <w:p>
      <w:pPr>
        <w:spacing w:after="0"/>
        <w:ind w:left="0"/>
        <w:jc w:val="both"/>
      </w:pPr>
      <w:r>
        <w:rPr>
          <w:rFonts w:ascii="Times New Roman"/>
          <w:b w:val="false"/>
          <w:i w:val="false"/>
          <w:color w:val="000000"/>
          <w:sz w:val="28"/>
        </w:rPr>
        <w:t>
      1. Настоящие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16"/>
    <w:bookmarkStart w:name="z374" w:id="17"/>
    <w:p>
      <w:pPr>
        <w:spacing w:after="0"/>
        <w:ind w:left="0"/>
        <w:jc w:val="both"/>
      </w:pPr>
      <w:r>
        <w:rPr>
          <w:rFonts w:ascii="Times New Roman"/>
          <w:b w:val="false"/>
          <w:i w:val="false"/>
          <w:color w:val="000000"/>
          <w:sz w:val="28"/>
        </w:rPr>
        <w:t>
      2. Правила не распространяются на Национальный Банк Республики Казахстан, банки второго уровня Республики Казахстан, Национального оператора почты, добровольные накопительные пенсионные фонды, управляющие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17"/>
    <w:bookmarkStart w:name="z375" w:id="18"/>
    <w:p>
      <w:pPr>
        <w:spacing w:after="0"/>
        <w:ind w:left="0"/>
        <w:jc w:val="both"/>
      </w:pPr>
      <w:r>
        <w:rPr>
          <w:rFonts w:ascii="Times New Roman"/>
          <w:b w:val="false"/>
          <w:i w:val="false"/>
          <w:color w:val="000000"/>
          <w:sz w:val="28"/>
        </w:rPr>
        <w:t>
      3. Нормы, предусмотренные Правилами в части аффилированных лиц брокера и (или) дилера, ДНПФ, УИП1, УИП2, не применяются к юридическим лицам и их аффилированным лицам, являющимся аффилированными с брокером и (или) дилером, ДНПФ, УИП1, УИП2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8"/>
    <w:bookmarkStart w:name="z376" w:id="19"/>
    <w:p>
      <w:pPr>
        <w:spacing w:after="0"/>
        <w:ind w:left="0"/>
        <w:jc w:val="both"/>
      </w:pPr>
      <w:r>
        <w:rPr>
          <w:rFonts w:ascii="Times New Roman"/>
          <w:b w:val="false"/>
          <w:i w:val="false"/>
          <w:color w:val="000000"/>
          <w:sz w:val="28"/>
        </w:rPr>
        <w:t>
      4. Для целей расчета минимального размера собственного капитала и показателей операционного риска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77" w:id="20"/>
    <w:p>
      <w:pPr>
        <w:spacing w:after="0"/>
        <w:ind w:left="0"/>
        <w:jc w:val="both"/>
      </w:pPr>
      <w:r>
        <w:rPr>
          <w:rFonts w:ascii="Times New Roman"/>
          <w:b w:val="false"/>
          <w:i w:val="false"/>
          <w:color w:val="000000"/>
          <w:sz w:val="28"/>
        </w:rPr>
        <w:t>
      5. В случае нарушения пруденциальных нормативов брокером и (или) дилером, ДНПФ, УИП1, УИП2, в течение 3 (трех) рабочих дней с даты нарушения сообщают уполномоченному органу по регулированию, контролю и надзору финансового рынка и финансовых организаций (далее - уполномоченный орган) о фактах и причинах нарушения соответствующего пруденциального норматива с приложением плана мероприятий по его устранению.</w:t>
      </w:r>
    </w:p>
    <w:bookmarkEnd w:id="20"/>
    <w:bookmarkStart w:name="z378" w:id="21"/>
    <w:p>
      <w:pPr>
        <w:spacing w:after="0"/>
        <w:ind w:left="0"/>
        <w:jc w:val="left"/>
      </w:pPr>
      <w:r>
        <w:rPr>
          <w:rFonts w:ascii="Times New Roman"/>
          <w:b/>
          <w:i w:val="false"/>
          <w:color w:val="000000"/>
        </w:rPr>
        <w:t xml:space="preserve"> Глава 2. Порядок расчета значений пруденциальных нормативов</w:t>
      </w:r>
    </w:p>
    <w:bookmarkEnd w:id="21"/>
    <w:bookmarkStart w:name="z379" w:id="22"/>
    <w:p>
      <w:pPr>
        <w:spacing w:after="0"/>
        <w:ind w:left="0"/>
        <w:jc w:val="both"/>
      </w:pPr>
      <w:r>
        <w:rPr>
          <w:rFonts w:ascii="Times New Roman"/>
          <w:b w:val="false"/>
          <w:i w:val="false"/>
          <w:color w:val="000000"/>
          <w:sz w:val="28"/>
        </w:rPr>
        <w:t xml:space="preserve">
      6. Брокер и (или) дилер, ДНПФ, УИП1, УИП2 производят расчет значений пруденциальных нормативов по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22"/>
    <w:bookmarkStart w:name="z397" w:id="23"/>
    <w:p>
      <w:pPr>
        <w:spacing w:after="0"/>
        <w:ind w:left="0"/>
        <w:jc w:val="both"/>
      </w:pPr>
      <w:r>
        <w:rPr>
          <w:rFonts w:ascii="Times New Roman"/>
          <w:b w:val="false"/>
          <w:i w:val="false"/>
          <w:color w:val="000000"/>
          <w:sz w:val="28"/>
        </w:rPr>
        <w:t>
      7. Для целей Правил под международными финансовыми организациями понимаются следующие организации:</w:t>
      </w:r>
    </w:p>
    <w:bookmarkEnd w:id="23"/>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Черноморский банк торговли и развития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24"/>
    <w:p>
      <w:pPr>
        <w:spacing w:after="0"/>
        <w:ind w:left="0"/>
        <w:jc w:val="both"/>
      </w:pPr>
      <w:r>
        <w:rPr>
          <w:rFonts w:ascii="Times New Roman"/>
          <w:b w:val="false"/>
          <w:i w:val="false"/>
          <w:color w:val="000000"/>
          <w:sz w:val="28"/>
        </w:rPr>
        <w:t xml:space="preserve">
      8.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8-2 Правил при соблюдении условия, установленного пунктом 8-1 Правил (далее - другие рейтинговые агентства).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5" w:id="25"/>
    <w:p>
      <w:pPr>
        <w:spacing w:after="0"/>
        <w:ind w:left="0"/>
        <w:jc w:val="both"/>
      </w:pPr>
      <w:r>
        <w:rPr>
          <w:rFonts w:ascii="Times New Roman"/>
          <w:b w:val="false"/>
          <w:i w:val="false"/>
          <w:color w:val="000000"/>
          <w:sz w:val="28"/>
        </w:rPr>
        <w:t>
      8-1.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8-2 Правил, по международной рейтинговой шкале используются только в отношении иностранных объектов рейтинга.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6" w:id="26"/>
    <w:p>
      <w:pPr>
        <w:spacing w:after="0"/>
        <w:ind w:left="0"/>
        <w:jc w:val="both"/>
      </w:pPr>
      <w:r>
        <w:rPr>
          <w:rFonts w:ascii="Times New Roman"/>
          <w:b w:val="false"/>
          <w:i w:val="false"/>
          <w:color w:val="000000"/>
          <w:sz w:val="28"/>
        </w:rPr>
        <w:t>
      8-2. Для целей Правил уполномоченным органом признаются рейтинговые оценки рейтинговых агентств, соответствующих следующим критериям:</w:t>
      </w:r>
    </w:p>
    <w:bookmarkEnd w:id="26"/>
    <w:bookmarkStart w:name="z755" w:id="27"/>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27"/>
    <w:bookmarkStart w:name="z756" w:id="28"/>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8"/>
    <w:bookmarkStart w:name="z757" w:id="29"/>
    <w:p>
      <w:pPr>
        <w:spacing w:after="0"/>
        <w:ind w:left="0"/>
        <w:jc w:val="both"/>
      </w:pPr>
      <w:r>
        <w:rPr>
          <w:rFonts w:ascii="Times New Roman"/>
          <w:b w:val="false"/>
          <w:i w:val="false"/>
          <w:color w:val="000000"/>
          <w:sz w:val="28"/>
        </w:rPr>
        <w:t>
      3) объективность, независимость и ответственность:</w:t>
      </w:r>
    </w:p>
    <w:bookmarkEnd w:id="29"/>
    <w:bookmarkStart w:name="z758" w:id="30"/>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30"/>
    <w:bookmarkStart w:name="z759" w:id="31"/>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31"/>
    <w:bookmarkStart w:name="z760" w:id="32"/>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32"/>
    <w:bookmarkStart w:name="z761" w:id="33"/>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33"/>
    <w:bookmarkStart w:name="z762" w:id="34"/>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34"/>
    <w:bookmarkStart w:name="z763" w:id="35"/>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35"/>
    <w:bookmarkStart w:name="z764" w:id="36"/>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36"/>
    <w:bookmarkStart w:name="z765" w:id="37"/>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37"/>
    <w:bookmarkStart w:name="z766" w:id="38"/>
    <w:p>
      <w:pPr>
        <w:spacing w:after="0"/>
        <w:ind w:left="0"/>
        <w:jc w:val="both"/>
      </w:pPr>
      <w:r>
        <w:rPr>
          <w:rFonts w:ascii="Times New Roman"/>
          <w:b w:val="false"/>
          <w:i w:val="false"/>
          <w:color w:val="000000"/>
          <w:sz w:val="28"/>
        </w:rPr>
        <w:t>
      4) прозрачность и раскрытие информации:</w:t>
      </w:r>
    </w:p>
    <w:bookmarkEnd w:id="38"/>
    <w:bookmarkStart w:name="z767" w:id="39"/>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9"/>
    <w:bookmarkStart w:name="z768" w:id="40"/>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40"/>
    <w:bookmarkStart w:name="z769" w:id="41"/>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41"/>
    <w:bookmarkStart w:name="z770" w:id="42"/>
    <w:p>
      <w:pPr>
        <w:spacing w:after="0"/>
        <w:ind w:left="0"/>
        <w:jc w:val="both"/>
      </w:pPr>
      <w:r>
        <w:rPr>
          <w:rFonts w:ascii="Times New Roman"/>
          <w:b w:val="false"/>
          <w:i w:val="false"/>
          <w:color w:val="000000"/>
          <w:sz w:val="28"/>
        </w:rPr>
        <w:t>
      5) надежность рейтингов:</w:t>
      </w:r>
    </w:p>
    <w:bookmarkEnd w:id="42"/>
    <w:bookmarkStart w:name="z771" w:id="43"/>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43"/>
    <w:bookmarkStart w:name="z772" w:id="44"/>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44"/>
    <w:bookmarkStart w:name="z773" w:id="45"/>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45"/>
    <w:bookmarkStart w:name="z774" w:id="46"/>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46"/>
    <w:bookmarkStart w:name="z775" w:id="47"/>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47"/>
    <w:bookmarkStart w:name="z776" w:id="48"/>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48"/>
    <w:bookmarkStart w:name="z777" w:id="49"/>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 подтверждающих соответствие рейтингового агентства критериям, установленным подпунктами 1), 2), 3), 4) и 5) настоящего пункта.</w:t>
      </w:r>
    </w:p>
    <w:bookmarkEnd w:id="49"/>
    <w:bookmarkStart w:name="z778" w:id="50"/>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подпунктами 1), 2), 3), 4) и 5)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50"/>
    <w:bookmarkStart w:name="z779" w:id="51"/>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51"/>
    <w:bookmarkStart w:name="z780" w:id="52"/>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53"/>
    <w:p>
      <w:pPr>
        <w:spacing w:after="0"/>
        <w:ind w:left="0"/>
        <w:jc w:val="both"/>
      </w:pPr>
      <w:r>
        <w:rPr>
          <w:rFonts w:ascii="Times New Roman"/>
          <w:b w:val="false"/>
          <w:i w:val="false"/>
          <w:color w:val="000000"/>
          <w:sz w:val="28"/>
        </w:rPr>
        <w:t>
      9. Для целей Правил под основными фондовыми индексами понимаются следующие расчетные показатели (индексы):</w:t>
      </w:r>
    </w:p>
    <w:bookmarkEnd w:id="53"/>
    <w:bookmarkStart w:name="z400" w:id="54"/>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54"/>
    <w:bookmarkStart w:name="z401" w:id="55"/>
    <w:p>
      <w:pPr>
        <w:spacing w:after="0"/>
        <w:ind w:left="0"/>
        <w:jc w:val="both"/>
      </w:pPr>
      <w:r>
        <w:rPr>
          <w:rFonts w:ascii="Times New Roman"/>
          <w:b w:val="false"/>
          <w:i w:val="false"/>
          <w:color w:val="000000"/>
          <w:sz w:val="28"/>
        </w:rPr>
        <w:t>
      DAX (Deutscher Aktienindex) (Дойтче Акциениндекс);</w:t>
      </w:r>
    </w:p>
    <w:bookmarkEnd w:id="55"/>
    <w:bookmarkStart w:name="z402" w:id="56"/>
    <w:p>
      <w:pPr>
        <w:spacing w:after="0"/>
        <w:ind w:left="0"/>
        <w:jc w:val="both"/>
      </w:pPr>
      <w:r>
        <w:rPr>
          <w:rFonts w:ascii="Times New Roman"/>
          <w:b w:val="false"/>
          <w:i w:val="false"/>
          <w:color w:val="000000"/>
          <w:sz w:val="28"/>
        </w:rPr>
        <w:t>
      DJIA (Dow Jones Industrial Average) (Доу Джонс Индастриал Эвередж);</w:t>
      </w:r>
    </w:p>
    <w:bookmarkEnd w:id="56"/>
    <w:bookmarkStart w:name="z403" w:id="57"/>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57"/>
    <w:bookmarkStart w:name="z404" w:id="58"/>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58"/>
    <w:bookmarkStart w:name="z405" w:id="59"/>
    <w:p>
      <w:pPr>
        <w:spacing w:after="0"/>
        <w:ind w:left="0"/>
        <w:jc w:val="both"/>
      </w:pPr>
      <w:r>
        <w:rPr>
          <w:rFonts w:ascii="Times New Roman"/>
          <w:b w:val="false"/>
          <w:i w:val="false"/>
          <w:color w:val="000000"/>
          <w:sz w:val="28"/>
        </w:rPr>
        <w:t>
      HSI (Hang Seng Index) (Ханг Сенг Индекс);</w:t>
      </w:r>
    </w:p>
    <w:bookmarkEnd w:id="59"/>
    <w:bookmarkStart w:name="z406" w:id="60"/>
    <w:p>
      <w:pPr>
        <w:spacing w:after="0"/>
        <w:ind w:left="0"/>
        <w:jc w:val="both"/>
      </w:pPr>
      <w:r>
        <w:rPr>
          <w:rFonts w:ascii="Times New Roman"/>
          <w:b w:val="false"/>
          <w:i w:val="false"/>
          <w:color w:val="000000"/>
          <w:sz w:val="28"/>
        </w:rPr>
        <w:t>
      KASE (Kazakhstan Stock Exchange Index) (Казакстан Сток Эксчейндж Индекс);</w:t>
      </w:r>
    </w:p>
    <w:bookmarkEnd w:id="60"/>
    <w:bookmarkStart w:name="z407" w:id="61"/>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61"/>
    <w:bookmarkStart w:name="z408" w:id="62"/>
    <w:p>
      <w:pPr>
        <w:spacing w:after="0"/>
        <w:ind w:left="0"/>
        <w:jc w:val="both"/>
      </w:pPr>
      <w:r>
        <w:rPr>
          <w:rFonts w:ascii="Times New Roman"/>
          <w:b w:val="false"/>
          <w:i w:val="false"/>
          <w:color w:val="000000"/>
          <w:sz w:val="28"/>
        </w:rPr>
        <w:t>
      MOEX Russia (Moscow Exchange Russia Index) (Москоу Эксчейндж Раша Индекс);</w:t>
      </w:r>
    </w:p>
    <w:bookmarkEnd w:id="62"/>
    <w:bookmarkStart w:name="z409" w:id="63"/>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63"/>
    <w:bookmarkStart w:name="z410" w:id="64"/>
    <w:p>
      <w:pPr>
        <w:spacing w:after="0"/>
        <w:ind w:left="0"/>
        <w:jc w:val="both"/>
      </w:pPr>
      <w:r>
        <w:rPr>
          <w:rFonts w:ascii="Times New Roman"/>
          <w:b w:val="false"/>
          <w:i w:val="false"/>
          <w:color w:val="000000"/>
          <w:sz w:val="28"/>
        </w:rPr>
        <w:t xml:space="preserve">
      RTSI (Russian Trade System Index) (Рашен Трейд Систем Индекс); </w:t>
      </w:r>
    </w:p>
    <w:bookmarkEnd w:id="64"/>
    <w:bookmarkStart w:name="z411" w:id="65"/>
    <w:p>
      <w:pPr>
        <w:spacing w:after="0"/>
        <w:ind w:left="0"/>
        <w:jc w:val="both"/>
      </w:pPr>
      <w:r>
        <w:rPr>
          <w:rFonts w:ascii="Times New Roman"/>
          <w:b w:val="false"/>
          <w:i w:val="false"/>
          <w:color w:val="000000"/>
          <w:sz w:val="28"/>
        </w:rPr>
        <w:t>
      S&amp;P 500 (Standard and Poor's 500 Index) (Стандард энд Пурс 500 Индекс);</w:t>
      </w:r>
    </w:p>
    <w:bookmarkEnd w:id="65"/>
    <w:bookmarkStart w:name="z412" w:id="66"/>
    <w:p>
      <w:pPr>
        <w:spacing w:after="0"/>
        <w:ind w:left="0"/>
        <w:jc w:val="both"/>
      </w:pPr>
      <w:r>
        <w:rPr>
          <w:rFonts w:ascii="Times New Roman"/>
          <w:b w:val="false"/>
          <w:i w:val="false"/>
          <w:color w:val="000000"/>
          <w:sz w:val="28"/>
        </w:rPr>
        <w:t>
      TOPIX 100 (Tokyo Stock Price 100 Index) (Токио Сток Прайс 100 Индекс);</w:t>
      </w:r>
    </w:p>
    <w:bookmarkEnd w:id="66"/>
    <w:bookmarkStart w:name="z413" w:id="67"/>
    <w:p>
      <w:pPr>
        <w:spacing w:after="0"/>
        <w:ind w:left="0"/>
        <w:jc w:val="both"/>
      </w:pPr>
      <w:r>
        <w:rPr>
          <w:rFonts w:ascii="Times New Roman"/>
          <w:b w:val="false"/>
          <w:i w:val="false"/>
          <w:color w:val="000000"/>
          <w:sz w:val="28"/>
        </w:rPr>
        <w:t>
      NASDAQ-100 (Nasdaq-100 Index) (Насдак-100 Индекс).</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w:t>
            </w:r>
            <w:r>
              <w:br/>
            </w:r>
            <w:r>
              <w:rPr>
                <w:rFonts w:ascii="Times New Roman"/>
                <w:b w:val="false"/>
                <w:i w:val="false"/>
                <w:color w:val="000000"/>
                <w:sz w:val="20"/>
              </w:rPr>
              <w:t>дилерскую деятельность</w:t>
            </w:r>
            <w:r>
              <w:br/>
            </w:r>
            <w:r>
              <w:rPr>
                <w:rFonts w:ascii="Times New Roman"/>
                <w:b w:val="false"/>
                <w:i w:val="false"/>
                <w:color w:val="000000"/>
                <w:sz w:val="20"/>
              </w:rPr>
              <w:t>на рынке ценных бумаг</w:t>
            </w:r>
          </w:p>
        </w:tc>
      </w:tr>
    </w:tbl>
    <w:bookmarkStart w:name="z484" w:id="68"/>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68"/>
    <w:p>
      <w:pPr>
        <w:spacing w:after="0"/>
        <w:ind w:left="0"/>
        <w:jc w:val="both"/>
      </w:pPr>
      <w:r>
        <w:rPr>
          <w:rFonts w:ascii="Times New Roman"/>
          <w:b w:val="false"/>
          <w:i w:val="false"/>
          <w:color w:val="ff0000"/>
          <w:sz w:val="28"/>
        </w:rPr>
        <w:t xml:space="preserve">
      Сноска. Приложение - в редакции постановления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417" w:id="69"/>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69"/>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3" w:id="70"/>
    <w:p>
      <w:pPr>
        <w:spacing w:after="0"/>
        <w:ind w:left="0"/>
        <w:jc w:val="left"/>
      </w:pPr>
      <w:r>
        <w:rPr>
          <w:rFonts w:ascii="Times New Roman"/>
          <w:b/>
          <w:i w:val="false"/>
          <w:color w:val="000000"/>
        </w:rPr>
        <w:t xml:space="preserve"> Глава 1. Общие положения</w:t>
      </w:r>
    </w:p>
    <w:bookmarkEnd w:id="70"/>
    <w:bookmarkStart w:name="z634" w:id="71"/>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71"/>
    <w:bookmarkStart w:name="z635" w:id="72"/>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72"/>
    <w:bookmarkStart w:name="z636" w:id="73"/>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73"/>
    <w:bookmarkStart w:name="z637" w:id="74"/>
    <w:p>
      <w:pPr>
        <w:spacing w:after="0"/>
        <w:ind w:left="0"/>
        <w:jc w:val="both"/>
      </w:pPr>
      <w:r>
        <w:rPr>
          <w:rFonts w:ascii="Times New Roman"/>
          <w:b w:val="false"/>
          <w:i w:val="false"/>
          <w:color w:val="000000"/>
          <w:sz w:val="28"/>
        </w:rPr>
        <w:t>
      3. Коэффициент достаточности собственного капитала брокера и (или) дилера рассчитывается по формуле:</w:t>
      </w:r>
    </w:p>
    <w:bookmarkEnd w:id="74"/>
    <w:bookmarkStart w:name="z638" w:id="75"/>
    <w:p>
      <w:pPr>
        <w:spacing w:after="0"/>
        <w:ind w:left="0"/>
        <w:jc w:val="both"/>
      </w:pPr>
      <w:r>
        <w:rPr>
          <w:rFonts w:ascii="Times New Roman"/>
          <w:b w:val="false"/>
          <w:i w:val="false"/>
          <w:color w:val="000000"/>
          <w:sz w:val="28"/>
        </w:rPr>
        <w:t>
      К = (ВЛА+ЛА - О)/(МРСК+Ор_БД), где:</w:t>
      </w:r>
    </w:p>
    <w:bookmarkEnd w:id="75"/>
    <w:bookmarkStart w:name="z639" w:id="76"/>
    <w:p>
      <w:pPr>
        <w:spacing w:after="0"/>
        <w:ind w:left="0"/>
        <w:jc w:val="both"/>
      </w:pPr>
      <w:r>
        <w:rPr>
          <w:rFonts w:ascii="Times New Roman"/>
          <w:b w:val="false"/>
          <w:i w:val="false"/>
          <w:color w:val="000000"/>
          <w:sz w:val="28"/>
        </w:rPr>
        <w:t>
      ВЛА - высоколиквидные активы брокера и (или) дилера, имеющиеся на дату расчета, которые признаются высоколиквидными в соответствии с пунктом 6 Методики;</w:t>
      </w:r>
    </w:p>
    <w:bookmarkEnd w:id="76"/>
    <w:bookmarkStart w:name="z640" w:id="77"/>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6 Методики;</w:t>
      </w:r>
    </w:p>
    <w:bookmarkEnd w:id="77"/>
    <w:bookmarkStart w:name="z641" w:id="78"/>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78"/>
    <w:bookmarkStart w:name="z642" w:id="79"/>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79"/>
    <w:bookmarkStart w:name="z643" w:id="80"/>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50 000 (пятьдесят тысяч) МРП;</w:t>
      </w:r>
    </w:p>
    <w:bookmarkEnd w:id="80"/>
    <w:bookmarkStart w:name="z644" w:id="81"/>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10 000 (десять тысяч) МРП;</w:t>
      </w:r>
    </w:p>
    <w:bookmarkEnd w:id="81"/>
    <w:bookmarkStart w:name="z645" w:id="82"/>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82"/>
    <w:bookmarkStart w:name="z646" w:id="83"/>
    <w:p>
      <w:pPr>
        <w:spacing w:after="0"/>
        <w:ind w:left="0"/>
        <w:jc w:val="both"/>
      </w:pPr>
      <w:r>
        <w:rPr>
          <w:rFonts w:ascii="Times New Roman"/>
          <w:b w:val="false"/>
          <w:i w:val="false"/>
          <w:color w:val="000000"/>
          <w:sz w:val="28"/>
        </w:rPr>
        <w:t>
      4. Операционный риск, связанный с брокерской и (или) дилерской деятельностью, рассчитывается как:</w:t>
      </w:r>
    </w:p>
    <w:bookmarkEnd w:id="83"/>
    <w:bookmarkStart w:name="z647" w:id="84"/>
    <w:p>
      <w:pPr>
        <w:spacing w:after="0"/>
        <w:ind w:left="0"/>
        <w:jc w:val="both"/>
      </w:pPr>
      <w:r>
        <w:rPr>
          <w:rFonts w:ascii="Times New Roman"/>
          <w:b w:val="false"/>
          <w:i w:val="false"/>
          <w:color w:val="000000"/>
          <w:sz w:val="28"/>
        </w:rPr>
        <w:t>
      Ор_БД = абсолютный показатель+</w:t>
      </w:r>
      <w:r>
        <w:rPr>
          <w:rFonts w:ascii="Times New Roman"/>
          <w:b w:val="false"/>
          <w:i w:val="false"/>
          <w:color w:val="000000"/>
          <w:sz w:val="28"/>
        </w:rPr>
        <w:t>a</w:t>
      </w:r>
      <w:r>
        <w:rPr>
          <w:rFonts w:ascii="Times New Roman"/>
          <w:b w:val="false"/>
          <w:i w:val="false"/>
          <w:color w:val="000000"/>
          <w:sz w:val="28"/>
        </w:rPr>
        <w:t>*относительный показатель, где:</w:t>
      </w:r>
    </w:p>
    <w:bookmarkEnd w:id="84"/>
    <w:bookmarkStart w:name="z648" w:id="85"/>
    <w:p>
      <w:pPr>
        <w:spacing w:after="0"/>
        <w:ind w:left="0"/>
        <w:jc w:val="both"/>
      </w:pPr>
      <w:r>
        <w:rPr>
          <w:rFonts w:ascii="Times New Roman"/>
          <w:b w:val="false"/>
          <w:i w:val="false"/>
          <w:color w:val="000000"/>
          <w:sz w:val="28"/>
        </w:rPr>
        <w:t>
      абсолютный показатель равен 15 000 (пятнадцати тысячам) МРП;</w:t>
      </w:r>
    </w:p>
    <w:bookmarkEnd w:id="85"/>
    <w:bookmarkStart w:name="z649" w:id="86"/>
    <w:p>
      <w:pPr>
        <w:spacing w:after="0"/>
        <w:ind w:left="0"/>
        <w:jc w:val="both"/>
      </w:pPr>
      <w:r>
        <w:rPr>
          <w:rFonts w:ascii="Times New Roman"/>
          <w:b w:val="false"/>
          <w:i w:val="false"/>
          <w:color w:val="000000"/>
          <w:sz w:val="28"/>
        </w:rPr>
        <w:t>
      относительный показатель рассчитывается как 15 (пятнадцати) кратный размер среднегодового расхода по статье неустойка (штраф, пеня) Отчета о прибылях и убытках за последние 60 (шестьдесят) месяцев предшествующие расчетной дате;</w:t>
      </w:r>
    </w:p>
    <w:bookmarkEnd w:id="86"/>
    <w:bookmarkStart w:name="z650"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операционного риска установлен в зависимости от среднегодового объема сделок*, заключенных брокерами и (или) дилерами, за последние 36 (тридцать шесть) месяцев, предшествующих расчетной дате, и определяется в соответствии с таблицей: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8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сделок (3 года)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млрд. до 3000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млрд. до 5000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млрд. до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75" w:id="94"/>
    <w:p>
      <w:pPr>
        <w:spacing w:after="0"/>
        <w:ind w:left="0"/>
        <w:jc w:val="both"/>
      </w:pPr>
      <w:r>
        <w:rPr>
          <w:rFonts w:ascii="Times New Roman"/>
          <w:b w:val="false"/>
          <w:i w:val="false"/>
          <w:color w:val="000000"/>
          <w:sz w:val="28"/>
        </w:rPr>
        <w:t xml:space="preserve">
      *объем сделок, заключенных на организованном, неорганизованном и международном рынках ценных бумаг, а также на территории Международного финансового центра "Астана" (за исключением когда брокер и (или) дилер выступал в качестве номинального держателя), на валютном рынке (для организаций, осуществляющих отдельные виды банковских операций), а также операции открытия репо, "обратного репо". </w:t>
      </w:r>
    </w:p>
    <w:bookmarkEnd w:id="94"/>
    <w:bookmarkStart w:name="z676" w:id="95"/>
    <w:p>
      <w:pPr>
        <w:spacing w:after="0"/>
        <w:ind w:left="0"/>
        <w:jc w:val="both"/>
      </w:pPr>
      <w:r>
        <w:rPr>
          <w:rFonts w:ascii="Times New Roman"/>
          <w:b w:val="false"/>
          <w:i w:val="false"/>
          <w:color w:val="000000"/>
          <w:sz w:val="28"/>
        </w:rPr>
        <w:t>
      При этом в случае, если срок с момента получения брокером и (или) дилером лицензии составляет меньше периода, чем вышеуказанный срок, то используются данные с момента получения лицензии на осуществление брокерской и (или) дилерской деятельности на рынке ценных бумаг.</w:t>
      </w:r>
    </w:p>
    <w:bookmarkEnd w:id="95"/>
    <w:bookmarkStart w:name="z677" w:id="96"/>
    <w:p>
      <w:pPr>
        <w:spacing w:after="0"/>
        <w:ind w:left="0"/>
        <w:jc w:val="both"/>
      </w:pPr>
      <w:r>
        <w:rPr>
          <w:rFonts w:ascii="Times New Roman"/>
          <w:b w:val="false"/>
          <w:i w:val="false"/>
          <w:color w:val="000000"/>
          <w:sz w:val="28"/>
        </w:rPr>
        <w:t>
      При этом если значение относительного показателя менее 3 000 (трех тысяч) МРП, то значение относительного показателя равно 3 000 (трем тысячам) МРП.</w:t>
      </w:r>
    </w:p>
    <w:bookmarkEnd w:id="96"/>
    <w:bookmarkStart w:name="z678" w:id="97"/>
    <w:p>
      <w:pPr>
        <w:spacing w:after="0"/>
        <w:ind w:left="0"/>
        <w:jc w:val="both"/>
      </w:pPr>
      <w:r>
        <w:rPr>
          <w:rFonts w:ascii="Times New Roman"/>
          <w:b w:val="false"/>
          <w:i w:val="false"/>
          <w:color w:val="000000"/>
          <w:sz w:val="28"/>
        </w:rPr>
        <w:t xml:space="preserve">
      При отсутствии заключаемых сделок </w:t>
      </w:r>
      <w:r>
        <w:rPr>
          <w:rFonts w:ascii="Times New Roman"/>
          <w:b w:val="false"/>
          <w:i w:val="false"/>
          <w:color w:val="000000"/>
          <w:sz w:val="28"/>
        </w:rPr>
        <w:t>a</w:t>
      </w:r>
      <w:r>
        <w:rPr>
          <w:rFonts w:ascii="Times New Roman"/>
          <w:b w:val="false"/>
          <w:i w:val="false"/>
          <w:color w:val="000000"/>
          <w:sz w:val="28"/>
        </w:rPr>
        <w:t xml:space="preserve"> равно 0 (ноль).</w:t>
      </w:r>
    </w:p>
    <w:bookmarkEnd w:id="97"/>
    <w:bookmarkStart w:name="z679" w:id="98"/>
    <w:p>
      <w:pPr>
        <w:spacing w:after="0"/>
        <w:ind w:left="0"/>
        <w:jc w:val="both"/>
      </w:pPr>
      <w:r>
        <w:rPr>
          <w:rFonts w:ascii="Times New Roman"/>
          <w:b w:val="false"/>
          <w:i w:val="false"/>
          <w:color w:val="000000"/>
          <w:sz w:val="28"/>
        </w:rPr>
        <w:t>
      При страховании ответственности перед клиентами, включающем случаи, установленные пунктом 5 статьи 53-2 Закона о рынке ценных бумаг, брокер и (или) дилер без права ведения счетов клиентов снижает размер абсолютного показателя на размер страховой суммы, но не более 50% от размера абсолютного показателя.</w:t>
      </w:r>
    </w:p>
    <w:bookmarkEnd w:id="98"/>
    <w:bookmarkStart w:name="z680" w:id="99"/>
    <w:p>
      <w:pPr>
        <w:spacing w:after="0"/>
        <w:ind w:left="0"/>
        <w:jc w:val="both"/>
      </w:pPr>
      <w:r>
        <w:rPr>
          <w:rFonts w:ascii="Times New Roman"/>
          <w:b w:val="false"/>
          <w:i w:val="false"/>
          <w:color w:val="000000"/>
          <w:sz w:val="28"/>
        </w:rPr>
        <w:t>
      5. Минимальное значение коэффициентов срочной ликвидности брокера и (или) дилера устанавливается в размере:</w:t>
      </w:r>
    </w:p>
    <w:bookmarkEnd w:id="99"/>
    <w:bookmarkStart w:name="z681" w:id="100"/>
    <w:p>
      <w:pPr>
        <w:spacing w:after="0"/>
        <w:ind w:left="0"/>
        <w:jc w:val="both"/>
      </w:pPr>
      <w:r>
        <w:rPr>
          <w:rFonts w:ascii="Times New Roman"/>
          <w:b w:val="false"/>
          <w:i w:val="false"/>
          <w:color w:val="000000"/>
          <w:sz w:val="28"/>
        </w:rPr>
        <w:t>
      К2-1 – не менее 1;</w:t>
      </w:r>
    </w:p>
    <w:bookmarkEnd w:id="100"/>
    <w:bookmarkStart w:name="z682" w:id="101"/>
    <w:p>
      <w:pPr>
        <w:spacing w:after="0"/>
        <w:ind w:left="0"/>
        <w:jc w:val="both"/>
      </w:pPr>
      <w:r>
        <w:rPr>
          <w:rFonts w:ascii="Times New Roman"/>
          <w:b w:val="false"/>
          <w:i w:val="false"/>
          <w:color w:val="000000"/>
          <w:sz w:val="28"/>
        </w:rPr>
        <w:t>
      К2-2 – не менее 0,9;</w:t>
      </w:r>
    </w:p>
    <w:bookmarkEnd w:id="101"/>
    <w:bookmarkStart w:name="z683" w:id="102"/>
    <w:p>
      <w:pPr>
        <w:spacing w:after="0"/>
        <w:ind w:left="0"/>
        <w:jc w:val="both"/>
      </w:pPr>
      <w:r>
        <w:rPr>
          <w:rFonts w:ascii="Times New Roman"/>
          <w:b w:val="false"/>
          <w:i w:val="false"/>
          <w:color w:val="000000"/>
          <w:sz w:val="28"/>
        </w:rPr>
        <w:t>
      К2-3 – не менее 0,8;</w:t>
      </w:r>
    </w:p>
    <w:bookmarkEnd w:id="102"/>
    <w:bookmarkStart w:name="z684" w:id="103"/>
    <w:p>
      <w:pPr>
        <w:spacing w:after="0"/>
        <w:ind w:left="0"/>
        <w:jc w:val="both"/>
      </w:pPr>
      <w:r>
        <w:rPr>
          <w:rFonts w:ascii="Times New Roman"/>
          <w:b w:val="false"/>
          <w:i w:val="false"/>
          <w:color w:val="000000"/>
          <w:sz w:val="28"/>
        </w:rPr>
        <w:t xml:space="preserve">
      К2-4 – не менее 0,5. </w:t>
      </w:r>
    </w:p>
    <w:bookmarkEnd w:id="103"/>
    <w:bookmarkStart w:name="z685" w:id="104"/>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04"/>
    <w:bookmarkStart w:name="z686" w:id="105"/>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105"/>
    <w:bookmarkStart w:name="z687" w:id="106"/>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06"/>
    <w:bookmarkStart w:name="z688" w:id="107"/>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07"/>
    <w:bookmarkStart w:name="z689" w:id="108"/>
    <w:p>
      <w:pPr>
        <w:spacing w:after="0"/>
        <w:ind w:left="0"/>
        <w:jc w:val="both"/>
      </w:pPr>
      <w:r>
        <w:rPr>
          <w:rFonts w:ascii="Times New Roman"/>
          <w:b w:val="false"/>
          <w:i w:val="false"/>
          <w:color w:val="000000"/>
          <w:sz w:val="28"/>
        </w:rPr>
        <w:t>
      Высоколиквидные и ликвидные активы брокера и (или) дилера, имеющиеся на дату расчета, признаются таковыми в соответствии с пунктом 6 Методики.</w:t>
      </w:r>
    </w:p>
    <w:bookmarkEnd w:id="108"/>
    <w:bookmarkStart w:name="z690"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09"/>
    <w:p>
      <w:pPr>
        <w:spacing w:after="0"/>
        <w:ind w:left="0"/>
        <w:jc w:val="both"/>
      </w:pPr>
      <w:r>
        <w:rPr>
          <w:rFonts w:ascii="Times New Roman"/>
          <w:b w:val="false"/>
          <w:i w:val="false"/>
          <w:color w:val="000000"/>
          <w:sz w:val="28"/>
        </w:rPr>
        <w:t>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110"/>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10"/>
    <w:bookmarkStart w:name="z786" w:id="111"/>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111"/>
    <w:bookmarkStart w:name="z787" w:id="112"/>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12"/>
    <w:bookmarkStart w:name="z788" w:id="113"/>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113"/>
    <w:bookmarkStart w:name="z789" w:id="114"/>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брокера и (или) дилера, в размере 70 % от совокупного объема ценных бумаг являющихся предметом операций репо;</w:t>
      </w:r>
    </w:p>
    <w:bookmarkEnd w:id="114"/>
    <w:bookmarkStart w:name="z790" w:id="115"/>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брокера и (или) дилера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15"/>
    <w:bookmarkStart w:name="z791" w:id="116"/>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брокера и (или) дилера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16"/>
    <w:bookmarkStart w:name="z792" w:id="117"/>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w:t>
      </w:r>
    </w:p>
    <w:bookmarkEnd w:id="117"/>
    <w:bookmarkStart w:name="z793" w:id="118"/>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119"/>
    <w:p>
      <w:pPr>
        <w:spacing w:after="0"/>
        <w:ind w:left="0"/>
        <w:jc w:val="left"/>
      </w:pPr>
      <w:r>
        <w:rPr>
          <w:rFonts w:ascii="Times New Roman"/>
          <w:b/>
          <w:i w:val="false"/>
          <w:color w:val="000000"/>
        </w:rPr>
        <w:t xml:space="preserve"> Глава 3. Методика расчета значений пруденциальных нормативов добровольных накопительных пенсионных фондов, совмещающих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bookmarkEnd w:id="119"/>
    <w:bookmarkStart w:name="z698" w:id="120"/>
    <w:p>
      <w:pPr>
        <w:spacing w:after="0"/>
        <w:ind w:left="0"/>
        <w:jc w:val="both"/>
      </w:pPr>
      <w:r>
        <w:rPr>
          <w:rFonts w:ascii="Times New Roman"/>
          <w:b w:val="false"/>
          <w:i w:val="false"/>
          <w:color w:val="000000"/>
          <w:sz w:val="28"/>
        </w:rPr>
        <w:t>
      8. Коэффициент достаточности собственного капитала ДНПФ рассчитывается по формуле:</w:t>
      </w:r>
    </w:p>
    <w:bookmarkEnd w:id="120"/>
    <w:bookmarkStart w:name="z699" w:id="121"/>
    <w:p>
      <w:pPr>
        <w:spacing w:after="0"/>
        <w:ind w:left="0"/>
        <w:jc w:val="both"/>
      </w:pPr>
      <w:r>
        <w:rPr>
          <w:rFonts w:ascii="Times New Roman"/>
          <w:b w:val="false"/>
          <w:i w:val="false"/>
          <w:color w:val="000000"/>
          <w:sz w:val="28"/>
        </w:rPr>
        <w:t>
      К = (ЛА - О) / МРСК, где:</w:t>
      </w:r>
    </w:p>
    <w:bookmarkEnd w:id="121"/>
    <w:bookmarkStart w:name="z700" w:id="122"/>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11 Методики;</w:t>
      </w:r>
    </w:p>
    <w:bookmarkEnd w:id="122"/>
    <w:bookmarkStart w:name="z701" w:id="123"/>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23"/>
    <w:bookmarkStart w:name="z702" w:id="124"/>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10 Методики.</w:t>
      </w:r>
    </w:p>
    <w:bookmarkEnd w:id="124"/>
    <w:bookmarkStart w:name="z703" w:id="125"/>
    <w:p>
      <w:pPr>
        <w:spacing w:after="0"/>
        <w:ind w:left="0"/>
        <w:jc w:val="both"/>
      </w:pPr>
      <w:r>
        <w:rPr>
          <w:rFonts w:ascii="Times New Roman"/>
          <w:b w:val="false"/>
          <w:i w:val="false"/>
          <w:color w:val="000000"/>
          <w:sz w:val="28"/>
        </w:rPr>
        <w:t>
      9. Коэффициент ликвидности ДНПФ рассчитывается по формуле:</w:t>
      </w:r>
    </w:p>
    <w:bookmarkEnd w:id="125"/>
    <w:bookmarkStart w:name="z704" w:id="126"/>
    <w:p>
      <w:pPr>
        <w:spacing w:after="0"/>
        <w:ind w:left="0"/>
        <w:jc w:val="both"/>
      </w:pPr>
      <w:r>
        <w:rPr>
          <w:rFonts w:ascii="Times New Roman"/>
          <w:b w:val="false"/>
          <w:i w:val="false"/>
          <w:color w:val="000000"/>
          <w:sz w:val="28"/>
        </w:rPr>
        <w:t>
      Кл = ЛА/O, где:</w:t>
      </w:r>
    </w:p>
    <w:bookmarkEnd w:id="126"/>
    <w:bookmarkStart w:name="z705" w:id="127"/>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11 Методики;</w:t>
      </w:r>
    </w:p>
    <w:bookmarkEnd w:id="127"/>
    <w:bookmarkStart w:name="z706" w:id="12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28"/>
    <w:bookmarkStart w:name="z707" w:id="129"/>
    <w:p>
      <w:pPr>
        <w:spacing w:after="0"/>
        <w:ind w:left="0"/>
        <w:jc w:val="both"/>
      </w:pPr>
      <w:r>
        <w:rPr>
          <w:rFonts w:ascii="Times New Roman"/>
          <w:b w:val="false"/>
          <w:i w:val="false"/>
          <w:color w:val="000000"/>
          <w:sz w:val="28"/>
        </w:rPr>
        <w:t>
      10. Если:</w:t>
      </w:r>
    </w:p>
    <w:bookmarkEnd w:id="129"/>
    <w:bookmarkStart w:name="z708" w:id="130"/>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130"/>
    <w:bookmarkStart w:name="z709" w:id="131"/>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131"/>
    <w:bookmarkStart w:name="z710" w:id="132"/>
    <w:p>
      <w:pPr>
        <w:spacing w:after="0"/>
        <w:ind w:left="0"/>
        <w:jc w:val="both"/>
      </w:pPr>
      <w:r>
        <w:rPr>
          <w:rFonts w:ascii="Times New Roman"/>
          <w:b w:val="false"/>
          <w:i w:val="false"/>
          <w:color w:val="000000"/>
          <w:sz w:val="28"/>
        </w:rPr>
        <w:t>
      11.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132"/>
    <w:bookmarkStart w:name="z711" w:id="133"/>
    <w:p>
      <w:pPr>
        <w:spacing w:after="0"/>
        <w:ind w:left="0"/>
        <w:jc w:val="both"/>
      </w:pPr>
      <w:r>
        <w:rPr>
          <w:rFonts w:ascii="Times New Roman"/>
          <w:b w:val="false"/>
          <w:i w:val="false"/>
          <w:color w:val="000000"/>
          <w:sz w:val="28"/>
        </w:rPr>
        <w:t>
      12. В расчет ликвидных активов, предусмотренных пунктом 11 Методики, не включаются:</w:t>
      </w:r>
    </w:p>
    <w:bookmarkEnd w:id="133"/>
    <w:bookmarkStart w:name="z712" w:id="134"/>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134"/>
    <w:bookmarkStart w:name="z713" w:id="135"/>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35"/>
    <w:bookmarkStart w:name="z714" w:id="13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136"/>
    <w:bookmarkStart w:name="z715" w:id="13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137"/>
    <w:bookmarkStart w:name="z716" w:id="138"/>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138"/>
    <w:bookmarkStart w:name="z717" w:id="139"/>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139"/>
    <w:bookmarkStart w:name="z718" w:id="140"/>
    <w:p>
      <w:pPr>
        <w:spacing w:after="0"/>
        <w:ind w:left="0"/>
        <w:jc w:val="both"/>
      </w:pPr>
      <w:r>
        <w:rPr>
          <w:rFonts w:ascii="Times New Roman"/>
          <w:b w:val="false"/>
          <w:i w:val="false"/>
          <w:color w:val="000000"/>
          <w:sz w:val="28"/>
        </w:rPr>
        <w:t xml:space="preserve">
      13.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42, зарегистрированным в Реестре государственной регистрации нормативных правовых актов под № 32832.</w:t>
      </w:r>
    </w:p>
    <w:bookmarkEnd w:id="140"/>
    <w:bookmarkStart w:name="z719" w:id="141"/>
    <w:p>
      <w:pPr>
        <w:spacing w:after="0"/>
        <w:ind w:left="0"/>
        <w:jc w:val="left"/>
      </w:pPr>
      <w:r>
        <w:rPr>
          <w:rFonts w:ascii="Times New Roman"/>
          <w:b/>
          <w:i w:val="false"/>
          <w:color w:val="000000"/>
        </w:rPr>
        <w:t xml:space="preserve"> Глава 4. Методика расчета значений пруденциальных нормативов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или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w:t>
      </w:r>
    </w:p>
    <w:bookmarkEnd w:id="141"/>
    <w:bookmarkStart w:name="z720" w:id="142"/>
    <w:p>
      <w:pPr>
        <w:spacing w:after="0"/>
        <w:ind w:left="0"/>
        <w:jc w:val="both"/>
      </w:pPr>
      <w:r>
        <w:rPr>
          <w:rFonts w:ascii="Times New Roman"/>
          <w:b w:val="false"/>
          <w:i w:val="false"/>
          <w:color w:val="000000"/>
          <w:sz w:val="28"/>
        </w:rPr>
        <w:t>
      14. Коэффициент достаточности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рассчитывается по формуле:</w:t>
      </w:r>
    </w:p>
    <w:bookmarkEnd w:id="142"/>
    <w:bookmarkStart w:name="z721" w:id="143"/>
    <w:p>
      <w:pPr>
        <w:spacing w:after="0"/>
        <w:ind w:left="0"/>
        <w:jc w:val="both"/>
      </w:pPr>
      <w:r>
        <w:rPr>
          <w:rFonts w:ascii="Times New Roman"/>
          <w:b w:val="false"/>
          <w:i w:val="false"/>
          <w:color w:val="000000"/>
          <w:sz w:val="28"/>
        </w:rPr>
        <w:t>
      К = (ВЛА+ЛА - О) / (МРСК+Ор_БД+Ор_УИП+Ор_УИП_ПА), где:</w:t>
      </w:r>
    </w:p>
    <w:bookmarkEnd w:id="143"/>
    <w:bookmarkStart w:name="z722" w:id="144"/>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44"/>
    <w:bookmarkStart w:name="z723" w:id="145"/>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45"/>
    <w:bookmarkStart w:name="z724" w:id="146"/>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46"/>
    <w:bookmarkStart w:name="z725" w:id="147"/>
    <w:p>
      <w:pPr>
        <w:spacing w:after="0"/>
        <w:ind w:left="0"/>
        <w:jc w:val="both"/>
      </w:pPr>
      <w:r>
        <w:rPr>
          <w:rFonts w:ascii="Times New Roman"/>
          <w:b w:val="false"/>
          <w:i w:val="false"/>
          <w:color w:val="000000"/>
          <w:sz w:val="28"/>
        </w:rPr>
        <w:t>
      МРСК - минимальный размер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принимаемый в расчет достаточности собственного капитала, составляющий 440 000 (четыреста сорок тысяч) МРП;</w:t>
      </w:r>
    </w:p>
    <w:bookmarkEnd w:id="147"/>
    <w:bookmarkStart w:name="z726" w:id="148"/>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48"/>
    <w:bookmarkStart w:name="z727" w:id="149"/>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149"/>
    <w:bookmarkStart w:name="z728" w:id="150"/>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150"/>
    <w:bookmarkStart w:name="z729" w:id="151"/>
    <w:p>
      <w:pPr>
        <w:spacing w:after="0"/>
        <w:ind w:left="0"/>
        <w:jc w:val="both"/>
      </w:pPr>
      <w:r>
        <w:rPr>
          <w:rFonts w:ascii="Times New Roman"/>
          <w:b w:val="false"/>
          <w:i w:val="false"/>
          <w:color w:val="000000"/>
          <w:sz w:val="28"/>
        </w:rPr>
        <w:t xml:space="preserve">
      15. Коэффициент достаточности собственного капитала УИП1 или УИП2 рассчитывается по формуле: </w:t>
      </w:r>
    </w:p>
    <w:bookmarkEnd w:id="151"/>
    <w:bookmarkStart w:name="z730" w:id="152"/>
    <w:p>
      <w:pPr>
        <w:spacing w:after="0"/>
        <w:ind w:left="0"/>
        <w:jc w:val="both"/>
      </w:pPr>
      <w:r>
        <w:rPr>
          <w:rFonts w:ascii="Times New Roman"/>
          <w:b w:val="false"/>
          <w:i w:val="false"/>
          <w:color w:val="000000"/>
          <w:sz w:val="28"/>
        </w:rPr>
        <w:t>
      К = (ВЛА+ЛА - О) / (МРСК+Ор_БД+Ор_УИП), где:</w:t>
      </w:r>
    </w:p>
    <w:bookmarkEnd w:id="152"/>
    <w:bookmarkStart w:name="z731" w:id="153"/>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53"/>
    <w:bookmarkStart w:name="z732" w:id="154"/>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54"/>
    <w:bookmarkStart w:name="z733" w:id="155"/>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55"/>
    <w:bookmarkStart w:name="z734" w:id="156"/>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составляющий 50 000 (пятьдесят тысяч) МРП;</w:t>
      </w:r>
    </w:p>
    <w:bookmarkEnd w:id="156"/>
    <w:bookmarkStart w:name="z735" w:id="157"/>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57"/>
    <w:bookmarkStart w:name="z736" w:id="158"/>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расчетную дату, умноженный на коэффициент операционного риска УИП – 0,1%.</w:t>
      </w:r>
    </w:p>
    <w:bookmarkEnd w:id="158"/>
    <w:bookmarkStart w:name="z737" w:id="159"/>
    <w:p>
      <w:pPr>
        <w:spacing w:after="0"/>
        <w:ind w:left="0"/>
        <w:jc w:val="both"/>
      </w:pPr>
      <w:r>
        <w:rPr>
          <w:rFonts w:ascii="Times New Roman"/>
          <w:b w:val="false"/>
          <w:i w:val="false"/>
          <w:color w:val="000000"/>
          <w:sz w:val="28"/>
        </w:rPr>
        <w:t>
      16. Минимальное значение коэффициентов срочной ликвидности УИП1 или УИП2 устанавливается в размере:</w:t>
      </w:r>
    </w:p>
    <w:bookmarkEnd w:id="159"/>
    <w:bookmarkStart w:name="z738" w:id="160"/>
    <w:p>
      <w:pPr>
        <w:spacing w:after="0"/>
        <w:ind w:left="0"/>
        <w:jc w:val="both"/>
      </w:pPr>
      <w:r>
        <w:rPr>
          <w:rFonts w:ascii="Times New Roman"/>
          <w:b w:val="false"/>
          <w:i w:val="false"/>
          <w:color w:val="000000"/>
          <w:sz w:val="28"/>
        </w:rPr>
        <w:t>
      К2-1 – не менее 1;</w:t>
      </w:r>
    </w:p>
    <w:bookmarkEnd w:id="160"/>
    <w:bookmarkStart w:name="z739" w:id="161"/>
    <w:p>
      <w:pPr>
        <w:spacing w:after="0"/>
        <w:ind w:left="0"/>
        <w:jc w:val="both"/>
      </w:pPr>
      <w:r>
        <w:rPr>
          <w:rFonts w:ascii="Times New Roman"/>
          <w:b w:val="false"/>
          <w:i w:val="false"/>
          <w:color w:val="000000"/>
          <w:sz w:val="28"/>
        </w:rPr>
        <w:t>
      К2-2 – не менее 0,9;</w:t>
      </w:r>
    </w:p>
    <w:bookmarkEnd w:id="161"/>
    <w:bookmarkStart w:name="z740" w:id="162"/>
    <w:p>
      <w:pPr>
        <w:spacing w:after="0"/>
        <w:ind w:left="0"/>
        <w:jc w:val="both"/>
      </w:pPr>
      <w:r>
        <w:rPr>
          <w:rFonts w:ascii="Times New Roman"/>
          <w:b w:val="false"/>
          <w:i w:val="false"/>
          <w:color w:val="000000"/>
          <w:sz w:val="28"/>
        </w:rPr>
        <w:t>
      К2-3 – не менее 0,8;</w:t>
      </w:r>
    </w:p>
    <w:bookmarkEnd w:id="162"/>
    <w:bookmarkStart w:name="z741" w:id="163"/>
    <w:p>
      <w:pPr>
        <w:spacing w:after="0"/>
        <w:ind w:left="0"/>
        <w:jc w:val="both"/>
      </w:pPr>
      <w:r>
        <w:rPr>
          <w:rFonts w:ascii="Times New Roman"/>
          <w:b w:val="false"/>
          <w:i w:val="false"/>
          <w:color w:val="000000"/>
          <w:sz w:val="28"/>
        </w:rPr>
        <w:t>
      К2-4 – не менее 0,5.</w:t>
      </w:r>
    </w:p>
    <w:bookmarkEnd w:id="163"/>
    <w:bookmarkStart w:name="z742" w:id="164"/>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64"/>
    <w:bookmarkStart w:name="z743" w:id="165"/>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cовокупных ликвидных активов, то коэффициент срочной ликвидности К2-2 не рассчитывается и считается исполненным.</w:t>
      </w:r>
    </w:p>
    <w:bookmarkEnd w:id="165"/>
    <w:bookmarkStart w:name="z744" w:id="166"/>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66"/>
    <w:bookmarkStart w:name="z745" w:id="167"/>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67"/>
    <w:bookmarkStart w:name="z746" w:id="168"/>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17 Методики.</w:t>
      </w:r>
    </w:p>
    <w:bookmarkEnd w:id="168"/>
    <w:bookmarkStart w:name="z747"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bookmarkEnd w:id="169"/>
    <w:p>
      <w:pPr>
        <w:spacing w:after="0"/>
        <w:ind w:left="0"/>
        <w:jc w:val="both"/>
      </w:pPr>
      <w:r>
        <w:rPr>
          <w:rFonts w:ascii="Times New Roman"/>
          <w:b w:val="false"/>
          <w:i w:val="false"/>
          <w:color w:val="000000"/>
          <w:sz w:val="28"/>
        </w:rPr>
        <w:t>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p>
      <w:pPr>
        <w:spacing w:after="0"/>
        <w:ind w:left="0"/>
        <w:jc w:val="both"/>
      </w:pPr>
      <w:r>
        <w:rPr>
          <w:rFonts w:ascii="Times New Roman"/>
          <w:b w:val="false"/>
          <w:i w:val="false"/>
          <w:color w:val="000000"/>
          <w:sz w:val="28"/>
        </w:rPr>
        <w:t>
      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170"/>
    <w:p>
      <w:pPr>
        <w:spacing w:after="0"/>
        <w:ind w:left="0"/>
        <w:jc w:val="both"/>
      </w:pPr>
      <w:r>
        <w:rPr>
          <w:rFonts w:ascii="Times New Roman"/>
          <w:b w:val="false"/>
          <w:i w:val="false"/>
          <w:color w:val="000000"/>
          <w:sz w:val="28"/>
        </w:rPr>
        <w:t>
      18. В расчет высоколиквидных и ликвидных активов УИП1 или УИП2, предусмотренных пунктом 17 Методики, не включаются:</w:t>
      </w:r>
    </w:p>
    <w:bookmarkEnd w:id="170"/>
    <w:bookmarkStart w:name="z799" w:id="171"/>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171"/>
    <w:bookmarkStart w:name="z800" w:id="172"/>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72"/>
    <w:bookmarkStart w:name="z801" w:id="173"/>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173"/>
    <w:bookmarkStart w:name="z802" w:id="174"/>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УИП1 или УИП2, в размере 70 % от совокупного объема ценных бумаг являющихся предметом операций репо;</w:t>
      </w:r>
    </w:p>
    <w:bookmarkEnd w:id="174"/>
    <w:bookmarkStart w:name="z803" w:id="175"/>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УИП1 или УИП2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75"/>
    <w:bookmarkStart w:name="z804" w:id="176"/>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УИП1 или УИП2 в размере 95%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76"/>
    <w:bookmarkStart w:name="z805" w:id="177"/>
    <w:p>
      <w:pPr>
        <w:spacing w:after="0"/>
        <w:ind w:left="0"/>
        <w:jc w:val="both"/>
      </w:pPr>
      <w:r>
        <w:rPr>
          <w:rFonts w:ascii="Times New Roman"/>
          <w:b w:val="false"/>
          <w:i w:val="false"/>
          <w:color w:val="000000"/>
          <w:sz w:val="28"/>
        </w:rPr>
        <w:t xml:space="preserve">
      Ценные бумаги, являющиеся предметом операций репо, отражаются в строке 6.3, 6.4, 6.5 Таблицы расчета значений пруденциальных нормативов УИП1 или УИП2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77"/>
    <w:bookmarkStart w:name="z806" w:id="178"/>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367" w:id="179"/>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79"/>
    <w:bookmarkStart w:name="z368"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146 "Об установлении пруденциального норматива для организаций, осуществляющих брокерскую и (или) дилерскую деятельность на рынке ценных бумаг, утверждении Правил расчета значений пруденциального норматива для организаций, осуществляющих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9736, опубликовано 2 октября 2014 года в газете "Юридическая газета" № 148 (2716).</w:t>
      </w:r>
    </w:p>
    <w:bookmarkEnd w:id="180"/>
    <w:bookmarkStart w:name="z369"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81"/>
    <w:bookmarkStart w:name="z370" w:id="1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согласно приложению 2 к постановлению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 ).</w:t>
      </w:r>
    </w:p>
    <w:bookmarkEnd w:id="182"/>
    <w:bookmarkStart w:name="z371" w:id="1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