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4268" w14:textId="9944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Глубоковскому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29 декабря 2017 года № 19/3-VI. Зарегистрировано Департаментом юстиции Восточно-Казахстанской области 23 января 2018 года № 5466.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 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Глубоковскому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 декабря 2017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19/3-VI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Глубоковскому району на 2018-2019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Глубоковскому району на 2018-2019 годы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Глубоковский район состоит из 17 поселков и сельских округов, 42 населенных пунктов.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района составляет 730,200 га, из них пастбищные земли – 111305,8 га.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193720,02 га;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49532 га;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7729,55 га;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297502 га;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2900 га;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35133,43 га.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континентальный. В пределах района выделены три природно - климатические зоны: предгорно - степная умеренно влажная, горная лугово-степная, горная лесостепная, климатические условия которых позволяют заниматься животноводством.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самые распространенные участки заняты высокотравным злаковым разнотравьем. Обычными растениями этих лугов являются злаки: ежа сборная, мятлик луговой, и многочисленные виды разнотравья. Склоны южной и юго-восточной экспозиции, обычно хорошо прогреваемые. Более крутые и закамененные склоны занятые горно-степной растительностью с преобладанием разнотравья: типчака, тырсы, ковыля красного.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района предоставлен черноземами южными, которые сменяются черноземами обыкновенными, по мере продвижения на северо-восток. Такой покров чаще всего встречается в двух вертикальных природных зонах: горной лесо-луговой-степной, горной и предгорной степной.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13 ветеринарных пунктов и 14 скотомогильников.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насчитывается крупного рогатого скота 20902 головы, мелкого рогатого скота 14964 головы, 2912 голов лошадей.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выпаса сельскохозяйственных животных по району имеются всего 111305,8 га пастбищных угодий. В черте населенных пунктов числится 26665,80 га пастбищ, в землях запаса имеются 14589,94 га пастбищных угодий.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сохранения долголетия и высокой продуктивности пастбищ необходимо вводить систему пастбищеоборота с использованием их в определенной последовательности по годам.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Глубоковскому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</w:t>
      </w:r>
      <w:r>
        <w:br/>
      </w:r>
      <w:r>
        <w:rPr>
          <w:rFonts w:ascii="Times New Roman"/>
          <w:b/>
          <w:i w:val="false"/>
          <w:color w:val="000000"/>
        </w:rPr>
        <w:t>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Глубоковскому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Глубоковскому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</w:t>
      </w:r>
      <w:r>
        <w:br/>
      </w:r>
      <w:r>
        <w:rPr>
          <w:rFonts w:ascii="Times New Roman"/>
          <w:b/>
          <w:i w:val="false"/>
          <w:color w:val="000000"/>
        </w:rPr>
        <w:t>с обозначением внешних и внутренних границ и площадей пастбищ, в том числе сезонных, объектов пастбищной инфраструктуры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Глубоковскому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</w:t>
      </w:r>
      <w:r>
        <w:br/>
      </w:r>
      <w:r>
        <w:rPr>
          <w:rFonts w:ascii="Times New Roman"/>
          <w:b/>
          <w:i w:val="false"/>
          <w:color w:val="000000"/>
        </w:rPr>
        <w:t>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Глубоковскому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</w:t>
      </w:r>
      <w:r>
        <w:br/>
      </w:r>
      <w:r>
        <w:rPr>
          <w:rFonts w:ascii="Times New Roman"/>
          <w:b/>
          <w:i w:val="false"/>
          <w:color w:val="000000"/>
        </w:rPr>
        <w:t>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Глубоковскому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</w:t>
      </w:r>
      <w:r>
        <w:br/>
      </w:r>
      <w:r>
        <w:rPr>
          <w:rFonts w:ascii="Times New Roman"/>
          <w:b/>
          <w:i w:val="false"/>
          <w:color w:val="000000"/>
        </w:rPr>
        <w:t>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Глубоковскому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</w:t>
      </w:r>
      <w:r>
        <w:br/>
      </w:r>
      <w:r>
        <w:rPr>
          <w:rFonts w:ascii="Times New Roman"/>
          <w:b/>
          <w:i w:val="false"/>
          <w:color w:val="000000"/>
        </w:rPr>
        <w:t>использования пастбищ, устанавливающий сезонные маршруты выпаса и передвижения сельскохозяйственных животных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 Май-июнь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сезона Июль-август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 Сентябрь-октябрь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 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 Май-июнь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сезона Июль-август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