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5d2ce" w14:textId="b05d2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 на 2017 год по городу Курчатов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Курчатов Восточно-Казахстанской области от 12 мая 2017 года № 179. Зарегистрировано Департаментом юстиции Восточно-Казахстанской области 16 июня 2017 года № 5081. Утратило силу - постановлением акимата города Курчатов Восточно-Казахстанской области от 18 октября 2017 года № 413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Курчатов Восточно-Казахстанской области от 18.10.2017 № 413.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города Курчатов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подушевого финансирования и родительской платы на 2017 год по городу Курчатов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города Курчатов Глазинского А.Ю.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акима города Курчатов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Глазинский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Курчатов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мая 2017 года № 179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</w:t>
      </w:r>
      <w:r>
        <w:br/>
      </w:r>
      <w:r>
        <w:rPr>
          <w:rFonts w:ascii="Times New Roman"/>
          <w:b/>
          <w:i w:val="false"/>
          <w:color w:val="000000"/>
        </w:rPr>
        <w:t>воспитание и обучение, размеры подушевого финансирования и</w:t>
      </w:r>
      <w:r>
        <w:br/>
      </w:r>
      <w:r>
        <w:rPr>
          <w:rFonts w:ascii="Times New Roman"/>
          <w:b/>
          <w:i w:val="false"/>
          <w:color w:val="000000"/>
        </w:rPr>
        <w:t>родительской платы на 2017 год по городу Курчатов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4"/>
        <w:gridCol w:w="3363"/>
        <w:gridCol w:w="3077"/>
        <w:gridCol w:w="22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на одного воспитанника в месяц,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</w:tr>
      <w:tr>
        <w:trPr>
          <w:trHeight w:val="30" w:hRule="atLeast"/>
        </w:trPr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31 200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3"/>
        <w:gridCol w:w="2033"/>
        <w:gridCol w:w="3102"/>
        <w:gridCol w:w="2566"/>
        <w:gridCol w:w="256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воспитанников, 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стомость расходов на одного воспитанника в месяц, тенге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месяц, тенге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28400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