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c69a" w14:textId="f55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июня 2017 года № 197. Зарегистрировано Департаментом юстиции Актюбинской области 26 июня 2017 года № 5551. Утратило силу постановлением акимата Актюбинской области от 12 июня 2019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12.06.2019 № 233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зарегистрированного в Реестре государственной регистрации нормативных правовых актов № 11094,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(на 1 гектар, на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сентября 2016 года № 380 "Об утверждении перечня приоритетных сельскохозяйственных культур и норм субсидий" (зарегистрированное в Реестре государственной регистрации нормативных правовых актов № 5086, опубликованное 1-3 октября 2016 года в газетах "Ақтөбе" и "Актюбинский вестник").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Джумагазиева М.С.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№ 197 от 7 июня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лен, рапс)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 силос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с досветкой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без досветки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фермерских теплицах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№ 197 от 7 июня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гектар,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лен, рапс) на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с досветкой, годовая норма (выплачивается по 50 % отдельно на каждый культурооборот)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без досветки, годовая норма (выплачивается по 50 % отдельно на каждый культурооборот)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фермерских теплицах, годовая норма (выплачивается по 50 % отдельно на каждый культурооборот)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