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909d" w14:textId="3729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октября 2017 года № 328. Зарегистрирован в Министерстве юстиции Республики Казахстан 27 октября 2017 года № 15939.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 (зарегистрированный в Реестре государственной регистрации нормативных правовых актов за № 11503, опубликованный в информационно-правовой системе "Әділет" 10 июля 2015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оказания государственной услуги "Назначение пенсионных выплат по возрасту"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оказания государственной услуги "Назначение государственной базовой пенсионной выплаты"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оказания государственной услуги "Назначение государственных социальных пособий по инвалидности, по случаю потери кормильца и по возрасту"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оказания государственной услуги "Назначение государственных специальных пособий"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оказания государственной услуги "Назначение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оказания государственной услуги "Назначение пособий на рождение ребенка и по уходу за ребенком"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оказания государственной услуги "Назначение специального государственного пособия"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оказания государственной услуги "Выдача информации о поступлении и движении средств вкладчика единого накопительного пенсионного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оказания государственной услуги "Назначение пособия матери или отцу, усыновителю (удочерителю), опекуну (попечителю), воспитывающему ребенка-инвалида"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оказания государственной услуги "Назначение единовременной выплаты на погребение"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оказания государственной услуги "Назначение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оказания государственной услуги "Выдача справки иностранцу или лицу без гражданства о соответствии квалификации для самостоятельного трудоустройства"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регламент оказания государственной услуги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пенсионных выплат по возрасту", утвержденном указанным приказом: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Отделение Государственной корпорации в течение трех рабочих дней формирует электронный (бумажный) макет дела услугополучателя.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специалист, принимающий документы, осуществляет следующие действия: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в автоматизированную ИС государственного органа на наличие факта назначения или выплаты. При обнаружения факта назначения или выплаты пенсионных выплат выдает расписку об отказе в приеме заявления на назначение пенсионных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запрос в соответствующие ИС через шлюз "электронного правительства":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удостоверяющего личность услугополучателя и подтверждающего регистрацию по постоянному месту жительства;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о смерти детей (по регистрациям, произведенным на территории Республики Казахстан после 1 мая 2008 года);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 (попечительства);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"Верховный суд" - по решению суда об усыновлении (удочерении) ребенка (детей);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полноту пакета документов, принимаемых от услугополучателя;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состояние трудовой книжки, при отсутствии в ней соответствующих записей, наличии исправлений, неточностей, разночтений, запрашивает у заявителя представление справок архивных учреждений или с места работы;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сканирует документы, представленные услугополучателем, в том числе в случае отсутствия сведений из информационных систем государственных органов;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качество сканирования и соответствие электронных копий документов оригиналам, представленным услугополучателем;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регистрирует заявление и выдает расписку о принятии документов.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пенсионных выплат по возрасту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формирующий макет дела, осуществляет следующие действия: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на соответствие сумм, указанных в справке о доходе, электронной выписке оборотов с транзитного счета вкладчика.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указанных сумм запрашивает у услугополучателя представление с места работы справки-подтверждения о перечислении обязательных пенсионных взносов;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электронный макет дела с электронным проектом решения услугополучателя;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расчет размера пенсионных выплат по возрасту, оформляет электронный проект решения, удостоверяет электронный проект решения ЭЦП и направляет в филиал Государственной корпорации.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некачественного сканирования документов, представленных услугополучателем, необходимости предоставления справок архивных учреждений или с места работы возвращает специалисту, принявшему документы.";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труда, социальной защиты и миграции Министерства труда и социальной защиты населения Республики Казахстан по ______________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пенсионных выплат по возрасту";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базовой пенсионной выплаты", утвержденном указанным приказом: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труда, социальной защиты и миграции Министерства труда и социальной защиты населения Республики Казахстан по ______________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государственной базовой пенсионной выплаты";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социальных пособий по инвалидности, по случаю потери кормильца и по возрасту", утвержденном указанным приказом: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труда, социальной защиты и миграции Министерства труда и социальной защиты населения Республики Казахстан по ______________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(отказе в назначении) государственного социального пособия по случаю потери кормильца";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труда, социальной защиты и миграции Министерства труда и социальной защиты населения Республики Казахстан по ______________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государственного социального пособия по возрасту";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труда, социальной защиты и миграции Министерства труда и социальной защиты населения Республики Казахстан по ______________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(отказе в назначении) государственного социального пособия по инвалидности";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специальных пособий", утвержденном указанным приказом: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Отделение Государственной корпорации в течение двух рабочих дней формирует электронный (бумажный) макет дела услугополучателя.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специалист, принимающий документы, осуществляет следующие действия: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в автоматизированную информационную систему государственного органа на наличие факта назначения или выплаты.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факта назначения или выплаты пособия выдает расписку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запрос в соответствующие ИС через шлюз "электронного правительства":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услугополучателя и подтверждающим регистрацию по постоянному месту жительства;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"ЗАГС" – по свидетельству о рождении ребенка (детей) либо выписке из актовой записи о рождении (по регистрациям, произведенным на территории Республики Казахстан после 13 августа 2007 года), свидетельству о заключении брака (по регистрациям, произведенным на территории Республики Казахстан после 1 июня 2008 года);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полноту пакета документов, принимаемых от услугополучателя;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состояние трудовой книжки, при отсутствии в ней соответствующих записей, наличии исправлений, неточностей, разночтений, запрашивает у заявителя представление справок архивных учреждений или с места работы;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сканирует документы, представленные услугополучателем, в том числе в случае отсутствия сведений из информационных систем государственных органов;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качество сканирования и соответствие электронных копий документов оригиналам, представленным услугополучателем;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регистрирует заявление и выдает расписку о приеме документов.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пособия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формирующий макет дела, осуществляет следующие действия: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электронный (бумажный) макет дела с электронным проектом решения;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расчет размера пособия, оформляет электронный проект решения, удостоверяет электронный проект решения ЭЦП и направляет электронный макет дела и электронным проектом решения в филиал Государственной корпорации.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некачественного сканирования документов, представленных услугополучателем, необходимости предоставления справок архивных учреждений или с места работы возвращает специалисту, принявшему документы.";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труда, социальной защиты и миграции Министерства труда и социальной защиты населения Республики Казахстан по ______________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государственного специального пособия";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года", утвержденном указанным приказом: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"через территориальные подразделения Комитета труда, социальной защиты и миграции Министерства труда и социальной защиты населения Республики Казахстан - подразделение медико-социальной экспертизы (далее –подразделения МСЭ) для назначения социальной выплаты на случай утраты трудоспособности при первичном установлении степени утраты общей трудоспособности;";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пособий на рождение ребенка и по уходу за ребенком", утвержденном указанным приказом: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специального государственного пособия", утвержденном указанным приказом: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труда, социальной защиты и миграции Министерства труда и социальной защиты населения Республики Казахстан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(отказе в назначении) специального государственного пособия";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поступлении и движении средств вкладчика единого накопительного пенсионного фонда", утвержденном указанным приказом: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оказания государственной услуги "Выдача информации о поступлении и движении средств вкладчика единого накопительного пенсионного фонда" (далее – Регламент)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Стандартом государственной услуги "Выдача информации о поступлении и движении средств вкладчика единого накопительного пенсионного фонда",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за № 11342) (далее – Стандарт) и определяет процедуру выдачи информации о поступлении и движении средств вкладчика единого накопительного пенсионного фонда.";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защиты", утвержденном указанным приказом: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труда, социальной защиты и миграции Министерства труда и социальной защиты населения Республики Казахстан по ______________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подтверждении инвалидности";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пособия матери или отцу, усыновителю (удочерителю), опекуну (попечителю), воспитывающему ребенка-инвалида", утвержденном указанным приказом: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единовременной выплаты на погребение", утвержденном указанным приказом: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в виде ежемесячных выплат гражданам Республики Казахстан после завершения периода капитализацции платежей по возмещению вреда, причиненного жизни и здоровью работников юридическими лицами, ликвидированными вследствии банкротства", утвержденном указанным приказом: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развития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труда и социальной защиты населения Республики Казахстан;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разместить регламенты, утвержденные настоящим приказом, в местах обслуживания населения в удобном для восприятия формате.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мая 2015 года № 407</w:t>
            </w: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</w:t>
      </w:r>
    </w:p>
    <w:bookmarkEnd w:id="123"/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оказания государственной услуги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суммой пенсионных накоплений" (далее – Регламент)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за № 11342) (далее – Стандарт) и определяет процедуру назначения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(далее – выплата разницы по государственной гарантии).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услугодатель).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уведомление о назначении выплаты разницы по государственной гарантии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1029 "О некоторых вопросах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 (зарегистрирован в Реестре государственной регистрации нормативных правовых актов № 12645) либо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30"/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услугополучателя с приложением документов,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Действия услугодателя в процессе оказания государственной услуги: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выплаты разницы по государственной гарантии, в течение двух рабочих дней удостоверяет посредством ЭЦП электронный проект решения: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выплаты разницы по государственной гарантии в случае полного соответствия электронного макета дела в соответствии со Стандартом;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выплаты разницы по государственной гарантии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инфляции, утвержденными постановлением Правительства Республики Казахстан от 10 апреля 2014 года № 341 (далее – Правила).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выплаты разницы по государственной гарантии руководителю отдела (управления) услугодателя.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возвращает в отделение Государственной корпорации электронный макет дела с электронным проектом решения для приобщения к электронному макету дела дополнительных документов, для принятия решения о назначении выплаты разницы по государственной гарантии в срок, установленный Стандартом.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установленный Стандартом срок требуемые документы не представлены, услугодатель выносит решение об отказе в назначении выплаты разницы по государственной гарантии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выплаты разницы по государственной гарантии, удостоверенный ЭЦП специалиста отдела услугодателя;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услугодателя, осуществляющий функции по назначению выплаты разницы по государственной гарантии, в течение двух рабочих дней удостоверяет посредством ЭЦП электронный проект решения: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выплаты разницы по государственной гарантии в случае полного соответствия электронного макета дела в соответствии со Стандартом;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выплаты разницы по государственной гарантии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выплаты разницы по государственной гарантии руководителю услугодателя.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возвращает в отделение Государственной корпорации электронный макет дела с электронным проектом решения для приобщения к электронному макету дела дополнительных документов, необходимых для принятия решения о назначении выплаты разницы по государственной гарантии в срок, установленный Стандартом.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установленный Стандартом срок требуемые документы не представлены, услугодатель выносит решение об отказе в назначении выплаты разницы по государственной гарантии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выплаты разницы по государственной гарантии, удостоверенный ЭЦП руководителя отдела (управления) услугодателя;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услугодателя, осуществляющий функции по назначению выплаты разницы по государственной гарантии, в течение одного рабочего дня посредством ЭЦП принимает решение: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выплаты разницы по государственной гарантии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назначении выплаты разницы по государственной гарантии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Правилами- рассматривает поступивший электронный макет дела с электронным проектом решения (проверяет правильность расчета, качество сканированных документов).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возвращает в отделение Государственной корпорации электронный макет дела с электронным проектом решения для приобщения к электронному макету дела дополнительных документов, для принятия решения о назначении выплаты разницы по государственной гарантии в срок, установленный Стандартом.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в отделение Государственной корпорации и уведомление о назначении (отказе в назначении) выплаты разницы по государственной гарантии услугополучателю направляются в автоматическом режиме.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по выплате государственной гарантии и направление в автоматическом режиме принятого решения на выплату.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в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работники услугодателя: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(управления) услугодателя;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(управления) услугодателя;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взаимодействия структурных подразделений (работников) услугодателя в процессе оказания государственной услуги: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(управления) услугодателя в течение двух рабочих дней направляет в автоматическом режиме электронный макет дела с электронным проектом решения о назначении (отказе в назначении) выплаты разницы по государственной гарантии руководителю отдела (управления) услугодателя;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(управления) услугодателя в течение двух рабочих дней направляет в автоматическом режиме электронный макет дела с электронным проектом решения о назначении (отказе в назначении) выплаты разницы по государственной гарантии руководителю услугодателя;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принимает решение о назначении (отказе в назначении) выплаты разницы по государственной гарантии. Описание последовательности процедур (действий) между работниками услугодателя с указанием длительности каждой процедуры (действия) представлена в приложении 1 к настоящему регламенту.</w:t>
      </w:r>
    </w:p>
    <w:bookmarkEnd w:id="163"/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от услугополучателя осуществляется в территориальном подразделении Государственной корпорации по безбарьерному принципу, в порядке "электронной очереди".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специалист, принимающий документы, осуществляет следующие действия: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запрос в автоматизированную информационную систему (далее – ИС) государственного органа на наличие факта назначения, выплаты или отказа в назначении выплаты по причине, указанной в пункте 13 Правил.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факта назначения (отказа в назначении) или выплаты разницы выдает расписку об отказе в приеме заявления на назначение выплаты разницы по государственной гарантии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запрос через шлюз "электронного правительства" в ИС Государственная база данных "Физические лица" – по документам, удостоверяющим личность услугополучателя и подтверждающим регистрацию по постоянному месту жительства;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полноту пакета документов, принимаемых от услугополучателя;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сканирует документы, представленные услугополучателем, в том числе в случае отсутствия сведений из информационных систем государственных органов; 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сканирования и соответствие электронных копий документов оригиналам, представленным услугополучателем;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регистрирует заявление и выдает расписку о принятии документов.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выплаты разницы по государственной гарантии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Территориальное подразделение Государственной корпорации осуществляет действия по формированию электронного (бумажного) макета дела услугополучателя и расчету выплаты разницы по государственной гарантии в течение восьми дней в соответствии с пунктами 10, 11, 13 и 14 Правил.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продления срока оказания услуги, специалист уведомляет услугополучателя в течение двух рабочих дней посредством телефонной связи смс (услуга коротких сообщений / sms (short message service) оповещение о продлении срока оказания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общий срок продления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 наличии сведений о коэффициенте инфляции на дату наступления момента права на пенсионные выплаты не должен превышать двадцати пяти календарных дней.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 момента поступления от услугодателя уведомления о назначении выплаты (отказе в выплате) разницы по государственной гарантии информирует заявителя о принятом услугодателем решении по форме смс (sms) - уведомления о назначении выплаты (отказе в выплате)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согласно приложению 2 к настоящему регламенту посредством передачи на мобильный телефон услугополучателя, зарегистрированного на территории Республики Казахстан. 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отправки смс (услуга коротких сообщений / sms (short message service) оповещения на мобильный телефон услугополучателя, территориальное подразделение Государственной корпорации распечатывает уведомление и выдает его при личном обращении услугополучателю.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Диаграммы функционального взаимодействия информационных систем, задействованных в оказании услуги, в графической форме приведены в приложении 3 к настоящему регламенту.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 функциональными единицами, приведена в справочнике бизнес-процессов оказания государственной услуги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 согласно приложению 4 к настоящему регламенту.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"Выплата разницы между 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внесенных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взносов,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 с учетом уровня инфляции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суммой пенсионных накоплений"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работниками услугодателя с указанием длительности каждой процедуры (действия)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165"/>
        <w:gridCol w:w="2130"/>
        <w:gridCol w:w="6040"/>
        <w:gridCol w:w="899"/>
        <w:gridCol w:w="579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  <w:bookmarkEnd w:id="18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структурно-функциональных единиц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(управления) услугодателя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поступившего электронного макета дела с электронным проектом решения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1)Удостоверение электронного проекта решения посредством электронной цифровой подписи и направление в автоматическом режиме электронного макета дела с электронным проектом решения о назначении (об отказе в назначении) выплаты разницы по 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отдела (управления)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необходимости дооформления электронного макета дела - возврат электронного макета дела с электронным проектом решения и уведомления с указанием причины в отделение Государственной корпорации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(управления) услугодателя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поступившего электронного макета дела с электронным проектом решения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1)Удостоверение электронного проекта решения посредством электронной цифровой подписи и направление в автоматическом режиме электронного макета дела с электронным проектом решения о назначении (об отказе в назначении) выплаты разницы по 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необходимости дополнения необходимыми документами, определенными Стандартом,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поступившего электронного макета дела с электронным проектом решения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Принятие решения о назначении (отказе в назначении) выплаты разницы по 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Направление уведомления о назначении (отказе в назначении) выплаты по государственной гарантии в отделение Государственной корпорации;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"Выплата разницы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суммой фактически 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взносов с учетом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инфляции и суммой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накоплений"</w:t>
            </w:r>
          </w:p>
        </w:tc>
      </w:tr>
    </w:tbl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смс (</w:t>
      </w:r>
      <w:r>
        <w:rPr>
          <w:rFonts w:ascii="Times New Roman"/>
          <w:b/>
          <w:i w:val="false"/>
          <w:color w:val="000000"/>
          <w:sz w:val="28"/>
        </w:rPr>
        <w:t>sms</w:t>
      </w:r>
      <w:r>
        <w:rPr>
          <w:rFonts w:ascii="Times New Roman"/>
          <w:b/>
          <w:i w:val="false"/>
          <w:color w:val="000000"/>
          <w:sz w:val="28"/>
        </w:rPr>
        <w:t>) - уведомление о назначении выплаты (отказе в выплате)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Решением назначено/отказано_____________________________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вид выплаты)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Причина отказа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и Ф.И.О. (при наличии) ответственного лица)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"Выплата разницы между 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внесенных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 с учетом уровня инфляции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суммой пенсионных накоплений"</w:t>
            </w:r>
          </w:p>
        </w:tc>
      </w:tr>
    </w:tbl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услуги, в графической форме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2009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685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Сообщение начальное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Сообщение завершающее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Простое событие завершающее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Ошибка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66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Процесс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89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Условие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Поток сообщений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Поток управления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Электронный документ, представляемый конечному услугополучателю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"Выплата разницы между 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внесенных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взносов,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 с учетом уровня инфляции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суммой пенсионных накоплений"</w:t>
            </w:r>
          </w:p>
        </w:tc>
      </w:tr>
    </w:tbl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9"/>
        <w:gridCol w:w="3771"/>
      </w:tblGrid>
      <w:tr>
        <w:trPr>
          <w:trHeight w:val="30" w:hRule="atLeast"/>
        </w:trPr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</w:p>
          <w:bookmarkEnd w:id="1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 или завершения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</w:p>
          <w:bookmarkEnd w:id="1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наименование процедуры (действия)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услугополучателя</w:t>
            </w:r>
          </w:p>
        </w:tc>
      </w:tr>
      <w:tr>
        <w:trPr>
          <w:trHeight w:val="30" w:hRule="atLeast"/>
        </w:trPr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</w:p>
          <w:bookmarkEnd w:id="1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-наименование процедуры (действия) Государственной корпорации и 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услугодателей</w:t>
            </w:r>
          </w:p>
        </w:tc>
      </w:tr>
      <w:tr>
        <w:trPr>
          <w:trHeight w:val="30" w:hRule="atLeast"/>
        </w:trPr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</w:p>
          <w:bookmarkEnd w:id="1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выбор варианта</w:t>
            </w:r>
          </w:p>
        </w:tc>
      </w:tr>
      <w:tr>
        <w:trPr>
          <w:trHeight w:val="30" w:hRule="atLeast"/>
        </w:trPr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</w:p>
          <w:bookmarkEnd w:id="1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переход к следующей процедуре (действию)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