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659d" w14:textId="d31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июня 2016 года № 248. Зарегистрирован в Министерстве юстиции Республики Казахстан 17 июня 2016 года № 13804.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дополнить подпунктом 22) следующего содержания:</w:t>
      </w:r>
    </w:p>
    <w:p>
      <w:pPr>
        <w:spacing w:after="0"/>
        <w:ind w:left="0"/>
        <w:jc w:val="both"/>
      </w:pPr>
      <w:r>
        <w:rPr>
          <w:rFonts w:ascii="Times New Roman"/>
          <w:b w:val="false"/>
          <w:i w:val="false"/>
          <w:color w:val="000000"/>
          <w:sz w:val="28"/>
        </w:rPr>
        <w:t>
      "22)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заключения Государственной научно-технической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"309. Основные моменты при составлении Соглашения:</w:t>
      </w:r>
    </w:p>
    <w:p>
      <w:pPr>
        <w:spacing w:after="0"/>
        <w:ind w:left="0"/>
        <w:jc w:val="both"/>
      </w:pPr>
      <w:r>
        <w:rPr>
          <w:rFonts w:ascii="Times New Roman"/>
          <w:b w:val="false"/>
          <w:i w:val="false"/>
          <w:color w:val="000000"/>
          <w:sz w:val="28"/>
        </w:rPr>
        <w:t>
      1) при заключении Соглашения следует учитывать цели, задачи, прямые и конечные результаты, где:</w:t>
      </w:r>
    </w:p>
    <w:p>
      <w:pPr>
        <w:spacing w:after="0"/>
        <w:ind w:left="0"/>
        <w:jc w:val="both"/>
      </w:pPr>
      <w:r>
        <w:rPr>
          <w:rFonts w:ascii="Times New Roman"/>
          <w:b w:val="false"/>
          <w:i w:val="false"/>
          <w:color w:val="000000"/>
          <w:sz w:val="28"/>
        </w:rPr>
        <w:t>
      в пункте 2.2 "Цели" указываются цели, направленные на достижение конечного результата в соответствии со стратегическим планом;</w:t>
      </w:r>
    </w:p>
    <w:p>
      <w:pPr>
        <w:spacing w:after="0"/>
        <w:ind w:left="0"/>
        <w:jc w:val="both"/>
      </w:pPr>
      <w:r>
        <w:rPr>
          <w:rFonts w:ascii="Times New Roman"/>
          <w:b w:val="false"/>
          <w:i w:val="false"/>
          <w:color w:val="000000"/>
          <w:sz w:val="28"/>
        </w:rPr>
        <w:t>
      в пункте 2.3 "Задачи" указываются задачи, направленные на достижение цели в соответствии со стратегическим планом государственного органа;</w:t>
      </w:r>
    </w:p>
    <w:p>
      <w:pPr>
        <w:spacing w:after="0"/>
        <w:ind w:left="0"/>
        <w:jc w:val="both"/>
      </w:pPr>
      <w:r>
        <w:rPr>
          <w:rFonts w:ascii="Times New Roman"/>
          <w:b w:val="false"/>
          <w:i w:val="false"/>
          <w:color w:val="000000"/>
          <w:sz w:val="28"/>
        </w:rPr>
        <w:t>
      в пункте 2.4 "Прямые результаты" указывается по целевым трансфертам на развитие поименный перечень бюджетных инвестиций, реализуемых в рамках целевых трансфертов на развитие в соответствии с бюджетной заявкой, представленной администратором бюджетных программ вышестоящего бюджета на текущий финансовый год. При этом, в случае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w:t>
      </w:r>
    </w:p>
    <w:p>
      <w:pPr>
        <w:spacing w:after="0"/>
        <w:ind w:left="0"/>
        <w:jc w:val="both"/>
      </w:pPr>
      <w:r>
        <w:rPr>
          <w:rFonts w:ascii="Times New Roman"/>
          <w:b w:val="false"/>
          <w:i w:val="false"/>
          <w:color w:val="000000"/>
          <w:sz w:val="28"/>
        </w:rPr>
        <w:t>
      в пункте 2.5 "Конечные результаты" указывается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p>
      <w:pPr>
        <w:spacing w:after="0"/>
        <w:ind w:left="0"/>
        <w:jc w:val="both"/>
      </w:pPr>
      <w:r>
        <w:rPr>
          <w:rFonts w:ascii="Times New Roman"/>
          <w:b w:val="false"/>
          <w:i w:val="false"/>
          <w:color w:val="000000"/>
          <w:sz w:val="28"/>
        </w:rPr>
        <w:t>
      При определении конечного результата следует отразить решение проблемы в отрасли (сфере деятельности), связанной с реализацией бюджетной программы.</w:t>
      </w:r>
    </w:p>
    <w:p>
      <w:pPr>
        <w:spacing w:after="0"/>
        <w:ind w:left="0"/>
        <w:jc w:val="both"/>
      </w:pPr>
      <w:r>
        <w:rPr>
          <w:rFonts w:ascii="Times New Roman"/>
          <w:b w:val="false"/>
          <w:i w:val="false"/>
          <w:color w:val="000000"/>
          <w:sz w:val="28"/>
        </w:rPr>
        <w:t>
      2) по заполнению приложения 1 к Соглашению:</w:t>
      </w:r>
    </w:p>
    <w:p>
      <w:pPr>
        <w:spacing w:after="0"/>
        <w:ind w:left="0"/>
        <w:jc w:val="both"/>
      </w:pPr>
      <w:r>
        <w:rPr>
          <w:rFonts w:ascii="Times New Roman"/>
          <w:b w:val="false"/>
          <w:i w:val="false"/>
          <w:color w:val="000000"/>
          <w:sz w:val="28"/>
        </w:rPr>
        <w:t>
      В промежуточном отчете о достижении показателей результатов приводятся данные о фактическом достижении прямых результатов, об освоении сумм целевых трансфертов за определенный период времени с указанием причин недостижения запланированных на данный период показателей результатов.</w:t>
      </w:r>
    </w:p>
    <w:p>
      <w:pPr>
        <w:spacing w:after="0"/>
        <w:ind w:left="0"/>
        <w:jc w:val="both"/>
      </w:pPr>
      <w:r>
        <w:rPr>
          <w:rFonts w:ascii="Times New Roman"/>
          <w:b w:val="false"/>
          <w:i w:val="false"/>
          <w:color w:val="000000"/>
          <w:sz w:val="28"/>
        </w:rPr>
        <w:t>
      Приложение 1 к Соглашению составляется в следующем порядке:</w:t>
      </w:r>
    </w:p>
    <w:p>
      <w:pPr>
        <w:spacing w:after="0"/>
        <w:ind w:left="0"/>
        <w:jc w:val="both"/>
      </w:pP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p>
    <w:p>
      <w:pPr>
        <w:spacing w:after="0"/>
        <w:ind w:left="0"/>
        <w:jc w:val="both"/>
      </w:pPr>
      <w:r>
        <w:rPr>
          <w:rFonts w:ascii="Times New Roman"/>
          <w:b w:val="false"/>
          <w:i w:val="false"/>
          <w:color w:val="000000"/>
          <w:sz w:val="28"/>
        </w:rPr>
        <w:t>
      в строке "Наименование целевого трансферта" указывается наименование бюджетной программы (подпрограммы) вышестоящего бюджета;</w:t>
      </w:r>
    </w:p>
    <w:p>
      <w:pPr>
        <w:spacing w:after="0"/>
        <w:ind w:left="0"/>
        <w:jc w:val="both"/>
      </w:pPr>
      <w:r>
        <w:rPr>
          <w:rFonts w:ascii="Times New Roman"/>
          <w:b w:val="false"/>
          <w:i w:val="false"/>
          <w:color w:val="000000"/>
          <w:sz w:val="28"/>
        </w:rPr>
        <w:t>
      в строке "Период отчета" указывается полугодие отчетного финансового года;</w:t>
      </w:r>
    </w:p>
    <w:p>
      <w:pPr>
        <w:spacing w:after="0"/>
        <w:ind w:left="0"/>
        <w:jc w:val="both"/>
      </w:pP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июля;</w:t>
      </w:r>
    </w:p>
    <w:p>
      <w:pPr>
        <w:spacing w:after="0"/>
        <w:ind w:left="0"/>
        <w:jc w:val="both"/>
      </w:pP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p>
    <w:p>
      <w:pPr>
        <w:spacing w:after="0"/>
        <w:ind w:left="0"/>
        <w:jc w:val="both"/>
      </w:pPr>
      <w:r>
        <w:rPr>
          <w:rFonts w:ascii="Times New Roman"/>
          <w:b w:val="false"/>
          <w:i w:val="false"/>
          <w:color w:val="000000"/>
          <w:sz w:val="28"/>
        </w:rPr>
        <w:t>
      по строке "Прямой результат":</w:t>
      </w:r>
    </w:p>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по каждому бюджетному инвестиционному проекту, предусмотренные в заключенном Соглашении, выделенных из вышестоящего бюджета;</w:t>
      </w:r>
    </w:p>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количественная характеристика объема выполненных мероприятий в пределах предусмотренных бюджетных средств. Прямые результаты заполняются по каждому бюджетному инвестиционному проекту;</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p>
    <w:p>
      <w:pPr>
        <w:spacing w:after="0"/>
        <w:ind w:left="0"/>
        <w:jc w:val="both"/>
      </w:pPr>
      <w:r>
        <w:rPr>
          <w:rFonts w:ascii="Times New Roman"/>
          <w:b w:val="false"/>
          <w:i w:val="false"/>
          <w:color w:val="000000"/>
          <w:sz w:val="28"/>
        </w:rPr>
        <w:t>
      в графах "План, тыс.тенге" и "Фактическое исполнение, тыс.тенге" указываются суммы целевых трансфертов на развитие, выделенных из вышестоящего бюджета на 1 июля отчетного финансового года и суммы оплаченных обязательств по состоянию на 1 июля отчетного финансового года;</w:t>
      </w:r>
    </w:p>
    <w:p>
      <w:pPr>
        <w:spacing w:after="0"/>
        <w:ind w:left="0"/>
        <w:jc w:val="both"/>
      </w:pP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июля отчетного финансового года.</w:t>
      </w:r>
    </w:p>
    <w:p>
      <w:pPr>
        <w:spacing w:after="0"/>
        <w:ind w:left="0"/>
        <w:jc w:val="both"/>
      </w:pPr>
      <w:r>
        <w:rPr>
          <w:rFonts w:ascii="Times New Roman"/>
          <w:b w:val="false"/>
          <w:i w:val="false"/>
          <w:color w:val="000000"/>
          <w:sz w:val="28"/>
        </w:rPr>
        <w:t>
      3) по заполнению приложения 2 к Соглашению:</w:t>
      </w:r>
    </w:p>
    <w:p>
      <w:pPr>
        <w:spacing w:after="0"/>
        <w:ind w:left="0"/>
        <w:jc w:val="both"/>
      </w:pPr>
      <w:r>
        <w:rPr>
          <w:rFonts w:ascii="Times New Roman"/>
          <w:b w:val="false"/>
          <w:i w:val="false"/>
          <w:color w:val="000000"/>
          <w:sz w:val="28"/>
        </w:rPr>
        <w:t>
      В итоговом отчете о достижении показателей результатов приводятся данные о фактическом достижении прямых и конечных результатов, об освоении сумм целевых трансфертов за текущий финансовый год с указанием причин недостижения запланированных показателей результатов.</w:t>
      </w:r>
    </w:p>
    <w:p>
      <w:pPr>
        <w:spacing w:after="0"/>
        <w:ind w:left="0"/>
        <w:jc w:val="both"/>
      </w:pPr>
      <w:r>
        <w:rPr>
          <w:rFonts w:ascii="Times New Roman"/>
          <w:b w:val="false"/>
          <w:i w:val="false"/>
          <w:color w:val="000000"/>
          <w:sz w:val="28"/>
        </w:rPr>
        <w:t>
      Приложение 2 к Соглашению составляется в следующем порядке:</w:t>
      </w:r>
    </w:p>
    <w:p>
      <w:pPr>
        <w:spacing w:after="0"/>
        <w:ind w:left="0"/>
        <w:jc w:val="both"/>
      </w:pP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p>
    <w:p>
      <w:pPr>
        <w:spacing w:after="0"/>
        <w:ind w:left="0"/>
        <w:jc w:val="both"/>
      </w:pPr>
      <w:r>
        <w:rPr>
          <w:rFonts w:ascii="Times New Roman"/>
          <w:b w:val="false"/>
          <w:i w:val="false"/>
          <w:color w:val="000000"/>
          <w:sz w:val="28"/>
        </w:rPr>
        <w:t>
      в строке "Наименование целевого трансферта" указывается наименование бюджетной программы (подпрограммы) вышестоящего бюджета;</w:t>
      </w:r>
    </w:p>
    <w:p>
      <w:pPr>
        <w:spacing w:after="0"/>
        <w:ind w:left="0"/>
        <w:jc w:val="both"/>
      </w:pPr>
      <w:r>
        <w:rPr>
          <w:rFonts w:ascii="Times New Roman"/>
          <w:b w:val="false"/>
          <w:i w:val="false"/>
          <w:color w:val="000000"/>
          <w:sz w:val="28"/>
        </w:rPr>
        <w:t>
      в строке "Период отчета" указывается отчетный финансовый год;</w:t>
      </w:r>
    </w:p>
    <w:p>
      <w:pPr>
        <w:spacing w:after="0"/>
        <w:ind w:left="0"/>
        <w:jc w:val="both"/>
      </w:pP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января текущего финансового года;</w:t>
      </w:r>
    </w:p>
    <w:p>
      <w:pPr>
        <w:spacing w:after="0"/>
        <w:ind w:left="0"/>
        <w:jc w:val="both"/>
      </w:pP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p>
    <w:p>
      <w:pPr>
        <w:spacing w:after="0"/>
        <w:ind w:left="0"/>
        <w:jc w:val="both"/>
      </w:pPr>
      <w:r>
        <w:rPr>
          <w:rFonts w:ascii="Times New Roman"/>
          <w:b w:val="false"/>
          <w:i w:val="false"/>
          <w:color w:val="000000"/>
          <w:sz w:val="28"/>
        </w:rPr>
        <w:t>
      по строке "Прямой результат":</w:t>
      </w:r>
    </w:p>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по каждому бюджетному инвестиционному проекту,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w:t>
      </w:r>
    </w:p>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количественная характеристика объема выполненных мероприятий в пределах предусмотренных бюджетных средств. Прямые результаты заполняются по каждому бюджетному инвестиционному проекту;</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p>
    <w:p>
      <w:pPr>
        <w:spacing w:after="0"/>
        <w:ind w:left="0"/>
        <w:jc w:val="both"/>
      </w:pPr>
      <w:r>
        <w:rPr>
          <w:rFonts w:ascii="Times New Roman"/>
          <w:b w:val="false"/>
          <w:i w:val="false"/>
          <w:color w:val="000000"/>
          <w:sz w:val="28"/>
        </w:rPr>
        <w:t>
      в графах "План, тыс.тенге" и "Фактическое исполнение, тыс.тенге" указываются суммы целевых трансфертов на развитие, выделенных из вышестоящего бюджета на 1 января текущего финансового года и суммы оплаченных обязательств по состоянию на 1 января текущего финансового года;</w:t>
      </w:r>
    </w:p>
    <w:p>
      <w:pPr>
        <w:spacing w:after="0"/>
        <w:ind w:left="0"/>
        <w:jc w:val="both"/>
      </w:pP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января текущего финансового года;</w:t>
      </w:r>
    </w:p>
    <w:p>
      <w:pPr>
        <w:spacing w:after="0"/>
        <w:ind w:left="0"/>
        <w:jc w:val="both"/>
      </w:pPr>
      <w:r>
        <w:rPr>
          <w:rFonts w:ascii="Times New Roman"/>
          <w:b w:val="false"/>
          <w:i w:val="false"/>
          <w:color w:val="000000"/>
          <w:sz w:val="28"/>
        </w:rPr>
        <w:t>
      по строке "Конечный результат":</w:t>
      </w:r>
    </w:p>
    <w:p>
      <w:pPr>
        <w:spacing w:after="0"/>
        <w:ind w:left="0"/>
        <w:jc w:val="both"/>
      </w:pPr>
      <w:r>
        <w:rPr>
          <w:rFonts w:ascii="Times New Roman"/>
          <w:b w:val="false"/>
          <w:i w:val="false"/>
          <w:color w:val="000000"/>
          <w:sz w:val="28"/>
        </w:rPr>
        <w:t>
      в графе "Запланированные показатели результаты (мероприятия)" указываются конечные результаты по каждому бюджетному инвестиционному проекту, предусмотренные в заключенном Соглашении, то есть ожидаемое влияние достигнутого прямого результата на достижение цели;</w:t>
      </w:r>
    </w:p>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по каждому бюджетному инвестиционному проекту, то есть какой эффект показал достигнутый прямой результат на отрасль, на сколько решилась проблема в ней;</w:t>
      </w:r>
    </w:p>
    <w:p>
      <w:pPr>
        <w:spacing w:after="0"/>
        <w:ind w:left="0"/>
        <w:jc w:val="both"/>
      </w:pP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результатов.</w:t>
      </w:r>
    </w:p>
    <w:p>
      <w:pPr>
        <w:spacing w:after="0"/>
        <w:ind w:left="0"/>
        <w:jc w:val="both"/>
      </w:pPr>
      <w:r>
        <w:rPr>
          <w:rFonts w:ascii="Times New Roman"/>
          <w:b w:val="false"/>
          <w:i w:val="false"/>
          <w:color w:val="000000"/>
          <w:sz w:val="28"/>
        </w:rPr>
        <w:t>
      4) к отчетам, указанным в подпунктах 2) и 3) прилагается аналитическая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показателей результатов.</w:t>
      </w:r>
    </w:p>
    <w:p>
      <w:pPr>
        <w:spacing w:after="0"/>
        <w:ind w:left="0"/>
        <w:jc w:val="both"/>
      </w:pPr>
      <w:r>
        <w:rPr>
          <w:rFonts w:ascii="Times New Roman"/>
          <w:b w:val="false"/>
          <w:i w:val="false"/>
          <w:color w:val="000000"/>
          <w:sz w:val="28"/>
        </w:rPr>
        <w:t>
      Аналитическая записка включает информацию об использовании акимом области (города республиканского значения, столицы) или акимом района (города областного значения) целевых трансфертов, выделенных из вышестоящего бюджета, содержит основные направления расходования их за отчетный период, анализ достигнутых целей, показателей результатов,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p>
    <w:p>
      <w:pPr>
        <w:spacing w:after="0"/>
        <w:ind w:left="0"/>
        <w:jc w:val="both"/>
      </w:pPr>
      <w:r>
        <w:rPr>
          <w:rFonts w:ascii="Times New Roman"/>
          <w:b w:val="false"/>
          <w:i w:val="false"/>
          <w:color w:val="000000"/>
          <w:sz w:val="28"/>
        </w:rPr>
        <w:t>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p>
      <w:pPr>
        <w:spacing w:after="0"/>
        <w:ind w:left="0"/>
        <w:jc w:val="both"/>
      </w:pPr>
      <w:r>
        <w:rPr>
          <w:rFonts w:ascii="Times New Roman"/>
          <w:b w:val="false"/>
          <w:i w:val="false"/>
          <w:color w:val="000000"/>
          <w:sz w:val="28"/>
        </w:rPr>
        <w:t>
      5) в Соглашении предусматриваются и другие специфичные условия (обязанности, права, ответственность, условия внесения изменений в Соглашение) в зависимости от направления целевого трансферта на развитие, не противоречащие законодательству.";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p>
      <w:pPr>
        <w:spacing w:after="0"/>
        <w:ind w:left="0"/>
        <w:jc w:val="both"/>
      </w:pPr>
      <w:r>
        <w:rPr>
          <w:rFonts w:ascii="Times New Roman"/>
          <w:b w:val="false"/>
          <w:i w:val="false"/>
          <w:color w:val="000000"/>
          <w:sz w:val="28"/>
        </w:rPr>
        <w:t>
      Нормы, предусмотренные частью второй, третьей,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"707. После предоставления заявки в соответствии с пунктом 705 настоящих Правил, уполномоченный орган по государственному планированию организует проведение экономической экспертизы инвестиционного проекта и в течение 2-х месяцев готовит экономическое заключение.";</w:t>
      </w:r>
    </w:p>
    <w:bookmarkStart w:name="z8"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733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на покрытие дефицита наличности за счет специального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735</w:t>
      </w: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и </w:t>
      </w:r>
      <w:r>
        <w:rPr>
          <w:rFonts w:ascii="Times New Roman"/>
          <w:b w:val="false"/>
          <w:i w:val="false"/>
          <w:color w:val="000000"/>
          <w:sz w:val="28"/>
        </w:rPr>
        <w:t>737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жилья в рамках реализации государственных и правительственных программ и составляет проект решения маслихата о бюджете области, города республиканского значения, столицы на очередной финансовый год в установленном порядке.</w:t>
      </w:r>
    </w:p>
    <w:p>
      <w:pPr>
        <w:spacing w:after="0"/>
        <w:ind w:left="0"/>
        <w:jc w:val="both"/>
      </w:pPr>
      <w:r>
        <w:rPr>
          <w:rFonts w:ascii="Times New Roman"/>
          <w:b w:val="false"/>
          <w:i w:val="false"/>
          <w:color w:val="000000"/>
          <w:sz w:val="28"/>
        </w:rPr>
        <w:t>
      736.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области, города республиканского значения, столицы.</w:t>
      </w:r>
    </w:p>
    <w:p>
      <w:pPr>
        <w:spacing w:after="0"/>
        <w:ind w:left="0"/>
        <w:jc w:val="both"/>
      </w:pPr>
      <w:r>
        <w:rPr>
          <w:rFonts w:ascii="Times New Roman"/>
          <w:b w:val="false"/>
          <w:i w:val="false"/>
          <w:color w:val="000000"/>
          <w:sz w:val="28"/>
        </w:rPr>
        <w:t xml:space="preserve">
      737. Центральный уполномоченный орган по государственному планированию по согласованию с уполномоченным органом по исполнению бюджета согласно </w:t>
      </w:r>
      <w:r>
        <w:rPr>
          <w:rFonts w:ascii="Times New Roman"/>
          <w:b w:val="false"/>
          <w:i w:val="false"/>
          <w:color w:val="000000"/>
          <w:sz w:val="28"/>
        </w:rPr>
        <w:t>пункта 2</w:t>
      </w:r>
      <w:r>
        <w:rPr>
          <w:rFonts w:ascii="Times New Roman"/>
          <w:b w:val="false"/>
          <w:i w:val="false"/>
          <w:color w:val="000000"/>
          <w:sz w:val="28"/>
        </w:rPr>
        <w:t xml:space="preserve"> статьи 210 Бюджетного кодекса устанавливает лимит долга местных исполнительных органов на планируемый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738</w:t>
      </w:r>
      <w:r>
        <w:rPr>
          <w:rFonts w:ascii="Times New Roman"/>
          <w:b w:val="false"/>
          <w:i w:val="false"/>
          <w:color w:val="000000"/>
          <w:sz w:val="28"/>
        </w:rPr>
        <w:t xml:space="preserve"> и </w:t>
      </w:r>
      <w:r>
        <w:rPr>
          <w:rFonts w:ascii="Times New Roman"/>
          <w:b w:val="false"/>
          <w:i w:val="false"/>
          <w:color w:val="000000"/>
          <w:sz w:val="28"/>
        </w:rPr>
        <w:t>739</w:t>
      </w:r>
      <w:r>
        <w:rPr>
          <w:rFonts w:ascii="Times New Roman"/>
          <w:b w:val="false"/>
          <w:i w:val="false"/>
          <w:color w:val="000000"/>
          <w:sz w:val="28"/>
        </w:rPr>
        <w:t xml:space="preserve"> исключить;</w:t>
      </w:r>
    </w:p>
    <w:bookmarkStart w:name="z11" w:id="4"/>
    <w:p>
      <w:pPr>
        <w:spacing w:after="0"/>
        <w:ind w:left="0"/>
        <w:jc w:val="both"/>
      </w:pPr>
      <w:r>
        <w:rPr>
          <w:rFonts w:ascii="Times New Roman"/>
          <w:b w:val="false"/>
          <w:i w:val="false"/>
          <w:color w:val="000000"/>
          <w:sz w:val="28"/>
        </w:rPr>
        <w:t>
      пункт 740 изложить в следующей редакции:</w:t>
      </w:r>
    </w:p>
    <w:bookmarkEnd w:id="4"/>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города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местный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"882. Регистрация государственных обязательств по проектам ГЧП, в том числе государственных концессионных обязательств Правительства Республики Казахстан осуществляется на основании соответствующих договоров ГЧП, в том числе договоров концессии путем присвоения государственному обязательству по проекту ГЧП, в том числе государственному концессионному обязательству и договору ГЧП, в том числе договору концессии единого регистрационного номера и внесения в реестр государственных обязательств по проектам ГЧП, в том числе государственных концессионных обязательств.";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"887. Регистрация государственных обязательств по проектам ГЧП, в том числе государственных концессионных обязательств местных исполнительных органов осуществляется путем присвоения государственному обязательству по проекту ГЧП, в том числе государственному концессионному обязательству и договору ГЧП, в том числе договору концессии единого регистрационного номера и внесения его в реестр государственных обязательств по проектам ГЧП, в том числе государственных концессионных обязательств.";</w:t>
      </w:r>
    </w:p>
    <w:bookmarkStart w:name="z14"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112</w:t>
      </w:r>
      <w:r>
        <w:rPr>
          <w:rFonts w:ascii="Times New Roman"/>
          <w:b w:val="false"/>
          <w:i w:val="false"/>
          <w:color w:val="000000"/>
          <w:sz w:val="28"/>
        </w:rPr>
        <w:t xml:space="preserve"> к Правилам:</w:t>
      </w:r>
    </w:p>
    <w:bookmarkEnd w:id="5"/>
    <w:bookmarkStart w:name="z15" w:id="6"/>
    <w:p>
      <w:pPr>
        <w:spacing w:after="0"/>
        <w:ind w:left="0"/>
        <w:jc w:val="both"/>
      </w:pPr>
      <w:r>
        <w:rPr>
          <w:rFonts w:ascii="Times New Roman"/>
          <w:b w:val="false"/>
          <w:i w:val="false"/>
          <w:color w:val="000000"/>
          <w:sz w:val="28"/>
        </w:rPr>
        <w:t>
      в разделе "10. Форма и сроки представления отчета" пункт 3 изложить в следующей редакции:</w:t>
      </w:r>
    </w:p>
    <w:bookmarkEnd w:id="6"/>
    <w:p>
      <w:pPr>
        <w:spacing w:after="0"/>
        <w:ind w:left="0"/>
        <w:jc w:val="both"/>
      </w:pPr>
      <w:r>
        <w:rPr>
          <w:rFonts w:ascii="Times New Roman"/>
          <w:b w:val="false"/>
          <w:i w:val="false"/>
          <w:color w:val="000000"/>
          <w:sz w:val="28"/>
        </w:rPr>
        <w:t>
      "3. Итоговый отчет акима о фактическом достижении прямых и конечных результатов должен быть представлен не позднее 1 февраля следующего финансового года.***".</w:t>
      </w:r>
    </w:p>
    <w:bookmarkStart w:name="z16" w:id="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17" w:id="8"/>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К. Бишимбаев   </w:t>
      </w:r>
    </w:p>
    <w:p>
      <w:pPr>
        <w:spacing w:after="0"/>
        <w:ind w:left="0"/>
        <w:jc w:val="both"/>
      </w:pPr>
      <w:r>
        <w:rPr>
          <w:rFonts w:ascii="Times New Roman"/>
          <w:b w:val="false"/>
          <w:i w:val="false"/>
          <w:color w:val="000000"/>
          <w:sz w:val="28"/>
        </w:rPr>
        <w:t>
      "____"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Национального   </w:t>
      </w:r>
    </w:p>
    <w:p>
      <w:pPr>
        <w:spacing w:after="0"/>
        <w:ind w:left="0"/>
        <w:jc w:val="both"/>
      </w:pPr>
      <w:r>
        <w:rPr>
          <w:rFonts w:ascii="Times New Roman"/>
          <w:b w:val="false"/>
          <w:i w:val="false"/>
          <w:color w:val="000000"/>
          <w:sz w:val="28"/>
        </w:rPr>
        <w:t xml:space="preserve">
      банка Республики Казахстан   </w:t>
      </w:r>
    </w:p>
    <w:p>
      <w:pPr>
        <w:spacing w:after="0"/>
        <w:ind w:left="0"/>
        <w:jc w:val="both"/>
      </w:pPr>
      <w:r>
        <w:rPr>
          <w:rFonts w:ascii="Times New Roman"/>
          <w:b w:val="false"/>
          <w:i w:val="false"/>
          <w:color w:val="000000"/>
          <w:sz w:val="28"/>
        </w:rPr>
        <w:t xml:space="preserve">
      ________________ Д. Акишев   </w:t>
      </w:r>
    </w:p>
    <w:p>
      <w:pPr>
        <w:spacing w:after="0"/>
        <w:ind w:left="0"/>
        <w:jc w:val="both"/>
      </w:pPr>
      <w:r>
        <w:rPr>
          <w:rFonts w:ascii="Times New Roman"/>
          <w:b w:val="false"/>
          <w:i w:val="false"/>
          <w:color w:val="000000"/>
          <w:sz w:val="28"/>
        </w:rPr>
        <w:t>
      6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