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2320" w14:textId="b4a2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исполнительных органов, финансируемых из городского бюджета, аппаратов акима сельских округов и административных государственных служащих аппарата акима города Туркестан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3 июня 2015 года № 704. Зарегистрировано Департаментом юстиции Южно-Казахстанской области 29 июня 2015 года № 3223. Утратило силу постановлением акимата города Туркестан Южно-Казахстанской области от 27 января 2016 года №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Туркестан Южно-Казахстанской области от 27.01.2016 №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"Об утверждении Правил проведения ежегодной оценки деятельности и аттестации административных государственных служащих"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(зарегистрировано в Реестре государственной регистрации нормативных правовых актов за № 10130), акимат города Туркестан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исполнительных органов, финансируемых из городского бюджета, аппаратов акима сельских округов и административных государственных служащих аппарата акима города Туркестан корпуса "Б"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города С.М.Хандиллаева.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А.Ш.Усербаев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2015 года № 704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исполнительных органов, финансируемых из городского бюджета, аппаратов акима сельских округов и административных государственных служащих аппарата акима города Туркестан корпуса "Б"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Настоящая методика (далее –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ежегодной оценки деятельности административных государственных служащих исполнительных органов, финансируемых из городского бюджета, аппаратов акима сельских округов и административных государственных служащих аппарата акима города Туркестан корпуса "Б"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исполнительных органов, финансируемых из городского бюджета, аппаратов акима сельских округов и административных государственных служащих (далее – служащие) аппарата акима города Туркестан (далее – района)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исполнительных органов, финансируемых из городского бюджета и акимов села, сельских округов оценка проводится акимом города либо по его уполномочию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- Комиссия), которая создается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подразделения по управлению персоналом /кадровая служба/ аппарата акима района (далее – подразделение по управлению персоналом /кадровая служба/).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Подразделение по управлению персоналом /кадровая служба/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Подразделение по управлению персоналом /кадровая служба/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подразделения управления персоналом /кадровая служба/,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подразделения по управлению персоналом /кадровая служба/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подразделением по управлению персоналом /кадровая служба/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подразделение по управлению персоналом /кадровая служба/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течение двух рабочих дней со дня их получения от подразделения по управлению персоналом /кадровая служба/.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Подразделение по управлению персоналом /кадровая служба/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подразделением по управлению персоналом /кадровая служба/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Подразделение по управлению персоналом /кадровая служба/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Подразделение по управлению персоналом /кадровая служба/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Подразделение по управлению персоналом /кадровая служба/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Отказ служащего от ознакомления не может служить препятствием для внесения результатов оценки в его послужной список. В этом случае работником подразделения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управлению персоналом /кадровая служба/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подразделение по управлению персоналом /кадровая служба/.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аппаратов акима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 корпуса "Б"</w:t>
            </w:r>
          </w:p>
        </w:tc>
      </w:tr>
    </w:tbl>
    <w:bookmarkStart w:name="z7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</w:t>
      </w:r>
      <w:r>
        <w:rPr>
          <w:rFonts w:ascii="Times New Roman"/>
          <w:b w:val="false"/>
          <w:i/>
          <w:color w:val="000000"/>
          <w:sz w:val="28"/>
        </w:rPr>
        <w:t>г</w:t>
      </w:r>
      <w:r>
        <w:rPr>
          <w:rFonts w:ascii="Times New Roman"/>
          <w:b w:val="false"/>
          <w:i/>
          <w:color w:val="000000"/>
          <w:sz w:val="28"/>
        </w:rPr>
        <w:t>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3"/>
        <w:gridCol w:w="389"/>
        <w:gridCol w:w="191"/>
        <w:gridCol w:w="4179"/>
        <w:gridCol w:w="2388"/>
      </w:tblGrid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аппаратов акима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 корпуса "Б"</w:t>
            </w:r>
          </w:p>
        </w:tc>
      </w:tr>
    </w:tbl>
    <w:bookmarkStart w:name="z8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</w:t>
      </w:r>
      <w:r>
        <w:rPr>
          <w:rFonts w:ascii="Times New Roman"/>
          <w:b w:val="false"/>
          <w:i/>
          <w:color w:val="000000"/>
          <w:sz w:val="28"/>
        </w:rPr>
        <w:t>г</w:t>
      </w:r>
      <w:r>
        <w:rPr>
          <w:rFonts w:ascii="Times New Roman"/>
          <w:b w:val="false"/>
          <w:i/>
          <w:color w:val="000000"/>
          <w:sz w:val="28"/>
        </w:rPr>
        <w:t>о наличии)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944"/>
        <w:gridCol w:w="4061"/>
        <w:gridCol w:w="2319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городского бюджета, аппаратов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 корпуса "Б"</w:t>
            </w:r>
          </w:p>
        </w:tc>
      </w:tr>
    </w:tbl>
    <w:bookmarkStart w:name="z10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bookmarkStart w:name="z10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8"/>
        <w:gridCol w:w="4507"/>
        <w:gridCol w:w="1951"/>
        <w:gridCol w:w="1252"/>
        <w:gridCol w:w="1252"/>
      </w:tblGrid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 наличии)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Комиссии:__________________Дата: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</w:t>
      </w:r>
      <w:r>
        <w:rPr>
          <w:rFonts w:ascii="Times New Roman"/>
          <w:b w:val="false"/>
          <w:i/>
          <w:color w:val="000000"/>
          <w:sz w:val="28"/>
        </w:rPr>
        <w:t>при е</w:t>
      </w:r>
      <w:r>
        <w:rPr>
          <w:rFonts w:ascii="Times New Roman"/>
          <w:b w:val="false"/>
          <w:i/>
          <w:color w:val="000000"/>
          <w:sz w:val="28"/>
        </w:rPr>
        <w:t>г</w:t>
      </w:r>
      <w:r>
        <w:rPr>
          <w:rFonts w:ascii="Times New Roman"/>
          <w:b w:val="false"/>
          <w:i/>
          <w:color w:val="000000"/>
          <w:sz w:val="28"/>
        </w:rPr>
        <w:t>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Комиссии:_______________Дата: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</w:t>
      </w:r>
      <w:r>
        <w:rPr>
          <w:rFonts w:ascii="Times New Roman"/>
          <w:b w:val="false"/>
          <w:i/>
          <w:color w:val="000000"/>
          <w:sz w:val="28"/>
        </w:rPr>
        <w:t>при е</w:t>
      </w:r>
      <w:r>
        <w:rPr>
          <w:rFonts w:ascii="Times New Roman"/>
          <w:b w:val="false"/>
          <w:i/>
          <w:color w:val="000000"/>
          <w:sz w:val="28"/>
        </w:rPr>
        <w:t>г</w:t>
      </w:r>
      <w:r>
        <w:rPr>
          <w:rFonts w:ascii="Times New Roman"/>
          <w:b w:val="false"/>
          <w:i/>
          <w:color w:val="000000"/>
          <w:sz w:val="28"/>
        </w:rPr>
        <w:t>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Комиссии:________________________Дата: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</w:t>
      </w:r>
      <w:r>
        <w:rPr>
          <w:rFonts w:ascii="Times New Roman"/>
          <w:b w:val="false"/>
          <w:i/>
          <w:color w:val="000000"/>
          <w:sz w:val="28"/>
        </w:rPr>
        <w:t>при е</w:t>
      </w:r>
      <w:r>
        <w:rPr>
          <w:rFonts w:ascii="Times New Roman"/>
          <w:b w:val="false"/>
          <w:i/>
          <w:color w:val="000000"/>
          <w:sz w:val="28"/>
        </w:rPr>
        <w:t>г</w:t>
      </w:r>
      <w:r>
        <w:rPr>
          <w:rFonts w:ascii="Times New Roman"/>
          <w:b w:val="false"/>
          <w:i/>
          <w:color w:val="000000"/>
          <w:sz w:val="28"/>
        </w:rPr>
        <w:t>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