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ee03" w14:textId="fb1e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23 апреля 2015 года № 2/260. Зарегистрировано в Департаменте юстиции города Алматы 18 мая 2015 года № 1163. Утратило силу постановлением акимата города Алматы от 29 июля 2022 года № 3/360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29.07.2022 № 3/360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Алматы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Алматы.</w:t>
      </w:r>
    </w:p>
    <w:bookmarkEnd w:id="1"/>
    <w:bookmarkStart w:name="z3" w:id="2"/>
    <w:p>
      <w:pPr>
        <w:spacing w:after="0"/>
        <w:ind w:left="0"/>
        <w:jc w:val="both"/>
      </w:pPr>
      <w:r>
        <w:rPr>
          <w:rFonts w:ascii="Times New Roman"/>
          <w:b w:val="false"/>
          <w:i w:val="false"/>
          <w:color w:val="000000"/>
          <w:sz w:val="28"/>
        </w:rPr>
        <w:t>
      2. Управлению природных ресурсов и регулирования природопользования города Алматы обеспечить государственную регистрацию данного постановления в органах юстиции, его официальное опубликование в средствах массовой информации и размещение на интернет-ресурсе.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Е. Шорманова.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23 апреля 2015 года № 2/260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расчета норм образования и накопления</w:t>
      </w:r>
      <w:r>
        <w:br/>
      </w:r>
      <w:r>
        <w:rPr>
          <w:rFonts w:ascii="Times New Roman"/>
          <w:b/>
          <w:i w:val="false"/>
          <w:color w:val="000000"/>
        </w:rPr>
        <w:t>коммунальных отходов по городу Алматы</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Алматы (далее - Правила), разработаны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расчета норм образования и накопления коммунальных отходов по городу Алматы.</w:t>
      </w:r>
    </w:p>
    <w:bookmarkEnd w:id="6"/>
    <w:bookmarkStart w:name="z10" w:id="7"/>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1" w:id="8"/>
    <w:p>
      <w:pPr>
        <w:spacing w:after="0"/>
        <w:ind w:left="0"/>
        <w:jc w:val="left"/>
      </w:pPr>
      <w:r>
        <w:rPr>
          <w:rFonts w:ascii="Times New Roman"/>
          <w:b/>
          <w:i w:val="false"/>
          <w:color w:val="000000"/>
        </w:rPr>
        <w:t xml:space="preserve"> 2. Порядок расчета норм образования</w:t>
      </w:r>
      <w:r>
        <w:br/>
      </w:r>
      <w:r>
        <w:rPr>
          <w:rFonts w:ascii="Times New Roman"/>
          <w:b/>
          <w:i w:val="false"/>
          <w:color w:val="000000"/>
        </w:rPr>
        <w:t>и накопления коммунальных отходов</w:t>
      </w:r>
    </w:p>
    <w:bookmarkEnd w:id="8"/>
    <w:bookmarkStart w:name="z12" w:id="9"/>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3" w:id="10"/>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4" w:id="11"/>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5" w:id="12"/>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2"/>
    <w:bookmarkStart w:name="z16" w:id="13"/>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bookmarkEnd w:id="13"/>
    <w:bookmarkStart w:name="z17" w:id="14"/>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End w:id="14"/>
    <w:bookmarkStart w:name="z18" w:id="15"/>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 городе с населением более 500 тысяч человек участки выбираются с охватом 0,5 % населения общего числа жителей по каждому виду благоустройства (из них не менее 500 человек по неблагоустроенному сектору).</w:t>
      </w:r>
    </w:p>
    <w:bookmarkEnd w:id="15"/>
    <w:bookmarkStart w:name="z19" w:id="16"/>
    <w:p>
      <w:pPr>
        <w:spacing w:after="0"/>
        <w:ind w:left="0"/>
        <w:jc w:val="both"/>
      </w:pPr>
      <w:r>
        <w:rPr>
          <w:rFonts w:ascii="Times New Roman"/>
          <w:b w:val="false"/>
          <w:i w:val="false"/>
          <w:color w:val="000000"/>
          <w:sz w:val="28"/>
        </w:rPr>
        <w:t xml:space="preserve">
      8. На выбранные объекты перед проведением замеров коммунальным государственным учреждением "Управление природных ресурсов и регулирования природопользования города Алматы"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настоящим Правилам.</w:t>
      </w:r>
    </w:p>
    <w:bookmarkEnd w:id="16"/>
    <w:bookmarkStart w:name="z20" w:id="17"/>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1" w:id="18"/>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18"/>
    <w:bookmarkStart w:name="z22" w:id="19"/>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19"/>
    <w:bookmarkStart w:name="z23" w:id="20"/>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20"/>
    <w:bookmarkStart w:name="z24" w:id="21"/>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w:t>
      </w:r>
      <w:r>
        <w:rPr>
          <w:rFonts w:ascii="Times New Roman"/>
          <w:b w:val="false"/>
          <w:i w:val="false"/>
          <w:color w:val="000000"/>
          <w:sz w:val="28"/>
        </w:rPr>
        <w:t xml:space="preserve"> </w:t>
      </w:r>
      <w:r>
        <w:rPr>
          <w:rFonts w:ascii="Times New Roman"/>
          <w:b w:val="false"/>
          <w:i w:val="false"/>
          <w:color w:val="000000"/>
          <w:sz w:val="28"/>
        </w:rPr>
        <w:t>Правилам.</w:t>
      </w:r>
    </w:p>
    <w:bookmarkEnd w:id="21"/>
    <w:bookmarkStart w:name="z25" w:id="22"/>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xml:space="preserve">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
    <w:bookmarkStart w:name="z27" w:id="24"/>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8" w:id="25"/>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Start w:name="z29" w:id="26"/>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26"/>
    <w:bookmarkStart w:name="z30" w:id="27"/>
    <w:p>
      <w:pPr>
        <w:spacing w:after="0"/>
        <w:ind w:left="0"/>
        <w:jc w:val="both"/>
      </w:pPr>
      <w:r>
        <w:rPr>
          <w:rFonts w:ascii="Times New Roman"/>
          <w:b w:val="false"/>
          <w:i w:val="false"/>
          <w:color w:val="000000"/>
          <w:sz w:val="28"/>
        </w:rPr>
        <w:t xml:space="preserve">
      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bookmarkStart w:name="z32" w:id="28"/>
    <w:p>
      <w:pPr>
        <w:spacing w:after="0"/>
        <w:ind w:left="0"/>
        <w:jc w:val="left"/>
      </w:pPr>
      <w:r>
        <w:rPr>
          <w:rFonts w:ascii="Times New Roman"/>
          <w:b/>
          <w:i w:val="false"/>
          <w:color w:val="000000"/>
        </w:rPr>
        <w:t xml:space="preserve"> Виды объектов жилищного фонда и по нежилым помещениям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p>
      <w:pPr>
        <w:spacing w:after="0"/>
        <w:ind w:left="0"/>
        <w:jc w:val="both"/>
      </w:pPr>
      <w:r>
        <w:rPr>
          <w:rFonts w:ascii="Times New Roman"/>
          <w:b w:val="false"/>
          <w:i w:val="false"/>
          <w:color w:val="000000"/>
          <w:sz w:val="28"/>
        </w:rPr>
        <w:t>
      Форма</w:t>
      </w:r>
    </w:p>
    <w:bookmarkStart w:name="z34" w:id="29"/>
    <w:p>
      <w:pPr>
        <w:spacing w:after="0"/>
        <w:ind w:left="0"/>
        <w:jc w:val="both"/>
      </w:pPr>
      <w:r>
        <w:rPr>
          <w:rFonts w:ascii="Times New Roman"/>
          <w:b w:val="false"/>
          <w:i w:val="false"/>
          <w:color w:val="000000"/>
          <w:sz w:val="28"/>
        </w:rPr>
        <w:t>
      Коммунальный паспорт объекта жилищного фонда</w:t>
      </w:r>
    </w:p>
    <w:bookmarkEnd w:id="29"/>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человек __________________________________</w:t>
      </w:r>
    </w:p>
    <w:p>
      <w:pPr>
        <w:spacing w:after="0"/>
        <w:ind w:left="0"/>
        <w:jc w:val="both"/>
      </w:pPr>
      <w:r>
        <w:rPr>
          <w:rFonts w:ascii="Times New Roman"/>
          <w:b w:val="false"/>
          <w:i w:val="false"/>
          <w:color w:val="000000"/>
          <w:sz w:val="28"/>
        </w:rPr>
        <w:t>
      5. Уровень благоустройства:</w:t>
      </w:r>
    </w:p>
    <w:p>
      <w:pPr>
        <w:spacing w:after="0"/>
        <w:ind w:left="0"/>
        <w:jc w:val="both"/>
      </w:pPr>
      <w:r>
        <w:rPr>
          <w:rFonts w:ascii="Times New Roman"/>
          <w:b w:val="false"/>
          <w:i w:val="false"/>
          <w:color w:val="000000"/>
          <w:sz w:val="28"/>
        </w:rPr>
        <w:t>
      а) наличие водопровода, канализации, газа____________________________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w:t>
      </w:r>
    </w:p>
    <w:p>
      <w:pPr>
        <w:spacing w:after="0"/>
        <w:ind w:left="0"/>
        <w:jc w:val="both"/>
      </w:pPr>
      <w:r>
        <w:rPr>
          <w:rFonts w:ascii="Times New Roman"/>
          <w:b w:val="false"/>
          <w:i w:val="false"/>
          <w:color w:val="000000"/>
          <w:sz w:val="28"/>
        </w:rPr>
        <w:t>
      г) наличие мусоропровода_____________________________________________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отходов______________________________________</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Форма</w:t>
      </w:r>
    </w:p>
    <w:bookmarkStart w:name="z35" w:id="30"/>
    <w:p>
      <w:pPr>
        <w:spacing w:after="0"/>
        <w:ind w:left="0"/>
        <w:jc w:val="both"/>
      </w:pPr>
      <w:r>
        <w:rPr>
          <w:rFonts w:ascii="Times New Roman"/>
          <w:b w:val="false"/>
          <w:i w:val="false"/>
          <w:color w:val="000000"/>
          <w:sz w:val="28"/>
        </w:rPr>
        <w:t>
      Коммунальный паспорт объектов нежилых помещений</w:t>
      </w:r>
    </w:p>
    <w:bookmarkEnd w:id="30"/>
    <w:p>
      <w:pPr>
        <w:spacing w:after="0"/>
        <w:ind w:left="0"/>
        <w:jc w:val="both"/>
      </w:pPr>
      <w:r>
        <w:rPr>
          <w:rFonts w:ascii="Times New Roman"/>
          <w:b w:val="false"/>
          <w:i w:val="false"/>
          <w:color w:val="000000"/>
          <w:sz w:val="28"/>
        </w:rPr>
        <w:t>
      Город _______________________________________________________________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Количество мест (работников и т.д.) 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w:t>
      </w:r>
    </w:p>
    <w:p>
      <w:pPr>
        <w:spacing w:after="0"/>
        <w:ind w:left="0"/>
        <w:jc w:val="both"/>
      </w:pPr>
      <w:r>
        <w:rPr>
          <w:rFonts w:ascii="Times New Roman"/>
          <w:b w:val="false"/>
          <w:i w:val="false"/>
          <w:color w:val="000000"/>
          <w:sz w:val="28"/>
        </w:rPr>
        <w:t>
      7. Общая площадь помещений, м2 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торговая 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p>
      <w:pPr>
        <w:spacing w:after="0"/>
        <w:ind w:left="0"/>
        <w:jc w:val="both"/>
      </w:pPr>
      <w:r>
        <w:rPr>
          <w:rFonts w:ascii="Times New Roman"/>
          <w:b w:val="false"/>
          <w:i w:val="false"/>
          <w:color w:val="000000"/>
          <w:sz w:val="28"/>
        </w:rPr>
        <w:t>
      Форма</w:t>
      </w:r>
    </w:p>
    <w:bookmarkStart w:name="z37" w:id="31"/>
    <w:p>
      <w:pPr>
        <w:spacing w:after="0"/>
        <w:ind w:left="0"/>
        <w:jc w:val="both"/>
      </w:pPr>
      <w:r>
        <w:rPr>
          <w:rFonts w:ascii="Times New Roman"/>
          <w:b w:val="false"/>
          <w:i w:val="false"/>
          <w:color w:val="000000"/>
          <w:sz w:val="28"/>
        </w:rPr>
        <w:t>
      Бланк первичных записей</w:t>
      </w:r>
    </w:p>
    <w:bookmarkEnd w:id="31"/>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w:t>
            </w:r>
          </w:p>
          <w:p>
            <w:pPr>
              <w:spacing w:after="20"/>
              <w:ind w:left="20"/>
              <w:jc w:val="both"/>
            </w:pPr>
            <w:r>
              <w:rPr>
                <w:rFonts w:ascii="Times New Roman"/>
                <w:b w:val="false"/>
                <w:i w:val="false"/>
                <w:color w:val="000000"/>
                <w:sz w:val="20"/>
              </w:rPr>
              <w:t>
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слоя соб-</w:t>
            </w:r>
          </w:p>
          <w:p>
            <w:pPr>
              <w:spacing w:after="20"/>
              <w:ind w:left="20"/>
              <w:jc w:val="both"/>
            </w:pPr>
            <w:r>
              <w:rPr>
                <w:rFonts w:ascii="Times New Roman"/>
                <w:b w:val="false"/>
                <w:i w:val="false"/>
                <w:color w:val="000000"/>
                <w:sz w:val="20"/>
              </w:rPr>
              <w:t>
ран-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отхо-</w:t>
            </w:r>
          </w:p>
          <w:p>
            <w:pPr>
              <w:spacing w:after="20"/>
              <w:ind w:left="20"/>
              <w:jc w:val="both"/>
            </w:pPr>
            <w:r>
              <w:rPr>
                <w:rFonts w:ascii="Times New Roman"/>
                <w:b w:val="false"/>
                <w:i w:val="false"/>
                <w:color w:val="000000"/>
                <w:sz w:val="20"/>
              </w:rPr>
              <w:t>
дов,</w:t>
            </w:r>
          </w:p>
          <w:p>
            <w:pPr>
              <w:spacing w:after="20"/>
              <w:ind w:left="20"/>
              <w:jc w:val="both"/>
            </w:pPr>
            <w:r>
              <w:rPr>
                <w:rFonts w:ascii="Times New Roman"/>
                <w:b w:val="false"/>
                <w:i w:val="false"/>
                <w:color w:val="000000"/>
                <w:sz w:val="20"/>
              </w:rPr>
              <w:t>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w:t>
            </w:r>
          </w:p>
          <w:p>
            <w:pPr>
              <w:spacing w:after="20"/>
              <w:ind w:left="20"/>
              <w:jc w:val="both"/>
            </w:pPr>
            <w:r>
              <w:rPr>
                <w:rFonts w:ascii="Times New Roman"/>
                <w:b w:val="false"/>
                <w:i w:val="false"/>
                <w:color w:val="000000"/>
                <w:sz w:val="20"/>
              </w:rPr>
              <w:t>
щадь осно-</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нера,</w:t>
            </w:r>
          </w:p>
          <w:p>
            <w:pPr>
              <w:spacing w:after="20"/>
              <w:ind w:left="20"/>
              <w:jc w:val="both"/>
            </w:pPr>
            <w:r>
              <w:rPr>
                <w:rFonts w:ascii="Times New Roman"/>
                <w:b w:val="false"/>
                <w:i w:val="false"/>
                <w:color w:val="000000"/>
                <w:sz w:val="20"/>
              </w:rPr>
              <w:t>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w:t>
            </w:r>
          </w:p>
          <w:p>
            <w:pPr>
              <w:spacing w:after="20"/>
              <w:ind w:left="20"/>
              <w:jc w:val="both"/>
            </w:pPr>
            <w:r>
              <w:rPr>
                <w:rFonts w:ascii="Times New Roman"/>
                <w:b w:val="false"/>
                <w:i w:val="false"/>
                <w:color w:val="000000"/>
                <w:sz w:val="20"/>
              </w:rPr>
              <w:t>
дов в контей-</w:t>
            </w:r>
          </w:p>
          <w:p>
            <w:pPr>
              <w:spacing w:after="20"/>
              <w:ind w:left="20"/>
              <w:jc w:val="both"/>
            </w:pPr>
            <w:r>
              <w:rPr>
                <w:rFonts w:ascii="Times New Roman"/>
                <w:b w:val="false"/>
                <w:i w:val="false"/>
                <w:color w:val="000000"/>
                <w:sz w:val="20"/>
              </w:rPr>
              <w:t>
нере,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w:t>
            </w:r>
          </w:p>
          <w:p>
            <w:pPr>
              <w:spacing w:after="20"/>
              <w:ind w:left="20"/>
              <w:jc w:val="both"/>
            </w:pPr>
            <w:r>
              <w:rPr>
                <w:rFonts w:ascii="Times New Roman"/>
                <w:b w:val="false"/>
                <w:i w:val="false"/>
                <w:color w:val="000000"/>
                <w:sz w:val="20"/>
              </w:rPr>
              <w:t>
жен-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тей-</w:t>
            </w:r>
          </w:p>
          <w:p>
            <w:pPr>
              <w:spacing w:after="20"/>
              <w:ind w:left="20"/>
              <w:jc w:val="both"/>
            </w:pPr>
            <w:r>
              <w:rPr>
                <w:rFonts w:ascii="Times New Roman"/>
                <w:b w:val="false"/>
                <w:i w:val="false"/>
                <w:color w:val="000000"/>
                <w:sz w:val="20"/>
              </w:rPr>
              <w:t>
нера (мусо-</w:t>
            </w:r>
          </w:p>
          <w:p>
            <w:pPr>
              <w:spacing w:after="20"/>
              <w:ind w:left="20"/>
              <w:jc w:val="both"/>
            </w:pPr>
            <w:r>
              <w:rPr>
                <w:rFonts w:ascii="Times New Roman"/>
                <w:b w:val="false"/>
                <w:i w:val="false"/>
                <w:color w:val="000000"/>
                <w:sz w:val="20"/>
              </w:rPr>
              <w:t>
рово-</w:t>
            </w:r>
          </w:p>
          <w:p>
            <w:pPr>
              <w:spacing w:after="20"/>
              <w:ind w:left="20"/>
              <w:jc w:val="both"/>
            </w:pPr>
            <w:r>
              <w:rPr>
                <w:rFonts w:ascii="Times New Roman"/>
                <w:b w:val="false"/>
                <w:i w:val="false"/>
                <w:color w:val="000000"/>
                <w:sz w:val="20"/>
              </w:rPr>
              <w:t>
за) с отхо-</w:t>
            </w:r>
          </w:p>
          <w:p>
            <w:pPr>
              <w:spacing w:after="20"/>
              <w:ind w:left="20"/>
              <w:jc w:val="both"/>
            </w:pPr>
            <w:r>
              <w:rPr>
                <w:rFonts w:ascii="Times New Roman"/>
                <w:b w:val="false"/>
                <w:i w:val="false"/>
                <w:color w:val="000000"/>
                <w:sz w:val="20"/>
              </w:rPr>
              <w:t>
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порож-</w:t>
            </w:r>
          </w:p>
          <w:p>
            <w:pPr>
              <w:spacing w:after="20"/>
              <w:ind w:left="20"/>
              <w:jc w:val="both"/>
            </w:pPr>
            <w:r>
              <w:rPr>
                <w:rFonts w:ascii="Times New Roman"/>
                <w:b w:val="false"/>
                <w:i w:val="false"/>
                <w:color w:val="000000"/>
                <w:sz w:val="20"/>
              </w:rPr>
              <w:t>
него</w:t>
            </w:r>
          </w:p>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тей-</w:t>
            </w:r>
          </w:p>
          <w:p>
            <w:pPr>
              <w:spacing w:after="20"/>
              <w:ind w:left="20"/>
              <w:jc w:val="both"/>
            </w:pPr>
            <w:r>
              <w:rPr>
                <w:rFonts w:ascii="Times New Roman"/>
                <w:b w:val="false"/>
                <w:i w:val="false"/>
                <w:color w:val="000000"/>
                <w:sz w:val="20"/>
              </w:rPr>
              <w:t>
нера</w:t>
            </w:r>
          </w:p>
          <w:p>
            <w:pPr>
              <w:spacing w:after="20"/>
              <w:ind w:left="20"/>
              <w:jc w:val="both"/>
            </w:pPr>
            <w:r>
              <w:rPr>
                <w:rFonts w:ascii="Times New Roman"/>
                <w:b w:val="false"/>
                <w:i w:val="false"/>
                <w:color w:val="000000"/>
                <w:sz w:val="20"/>
              </w:rPr>
              <w:t>
(мусо-</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воза),</w:t>
            </w:r>
          </w:p>
          <w:p>
            <w:pPr>
              <w:spacing w:after="20"/>
              <w:ind w:left="20"/>
              <w:jc w:val="both"/>
            </w:pPr>
            <w:r>
              <w:rPr>
                <w:rFonts w:ascii="Times New Roman"/>
                <w:b w:val="false"/>
                <w:i w:val="false"/>
                <w:color w:val="000000"/>
                <w:sz w:val="20"/>
              </w:rPr>
              <w:t>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отхо-</w:t>
            </w:r>
          </w:p>
          <w:p>
            <w:pPr>
              <w:spacing w:after="20"/>
              <w:ind w:left="20"/>
              <w:jc w:val="both"/>
            </w:pPr>
            <w:r>
              <w:rPr>
                <w:rFonts w:ascii="Times New Roman"/>
                <w:b w:val="false"/>
                <w:i w:val="false"/>
                <w:color w:val="000000"/>
                <w:sz w:val="20"/>
              </w:rPr>
              <w:t>
дов</w:t>
            </w:r>
          </w:p>
          <w:p>
            <w:pPr>
              <w:spacing w:after="20"/>
              <w:ind w:left="20"/>
              <w:jc w:val="both"/>
            </w:pPr>
            <w:r>
              <w:rPr>
                <w:rFonts w:ascii="Times New Roman"/>
                <w:b w:val="false"/>
                <w:i w:val="false"/>
                <w:color w:val="000000"/>
                <w:sz w:val="20"/>
              </w:rPr>
              <w:t>
в кон-</w:t>
            </w:r>
          </w:p>
          <w:p>
            <w:pPr>
              <w:spacing w:after="20"/>
              <w:ind w:left="20"/>
              <w:jc w:val="both"/>
            </w:pPr>
            <w:r>
              <w:rPr>
                <w:rFonts w:ascii="Times New Roman"/>
                <w:b w:val="false"/>
                <w:i w:val="false"/>
                <w:color w:val="000000"/>
                <w:sz w:val="20"/>
              </w:rPr>
              <w:t>
тей-</w:t>
            </w:r>
          </w:p>
          <w:p>
            <w:pPr>
              <w:spacing w:after="20"/>
              <w:ind w:left="20"/>
              <w:jc w:val="both"/>
            </w:pPr>
            <w:r>
              <w:rPr>
                <w:rFonts w:ascii="Times New Roman"/>
                <w:b w:val="false"/>
                <w:i w:val="false"/>
                <w:color w:val="000000"/>
                <w:sz w:val="20"/>
              </w:rPr>
              <w:t>
нере,</w:t>
            </w:r>
          </w:p>
          <w:p>
            <w:pPr>
              <w:spacing w:after="20"/>
              <w:ind w:left="20"/>
              <w:jc w:val="both"/>
            </w:pPr>
            <w:r>
              <w:rPr>
                <w:rFonts w:ascii="Times New Roman"/>
                <w:b w:val="false"/>
                <w:i w:val="false"/>
                <w:color w:val="000000"/>
                <w:sz w:val="20"/>
              </w:rPr>
              <w:t>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p>
      <w:pPr>
        <w:spacing w:after="0"/>
        <w:ind w:left="0"/>
        <w:jc w:val="both"/>
      </w:pPr>
      <w:r>
        <w:rPr>
          <w:rFonts w:ascii="Times New Roman"/>
          <w:b w:val="false"/>
          <w:i w:val="false"/>
          <w:color w:val="000000"/>
          <w:sz w:val="28"/>
        </w:rPr>
        <w:t>
      Форма</w:t>
      </w:r>
    </w:p>
    <w:bookmarkStart w:name="z39" w:id="32"/>
    <w:p>
      <w:pPr>
        <w:spacing w:after="0"/>
        <w:ind w:left="0"/>
        <w:jc w:val="both"/>
      </w:pPr>
      <w:r>
        <w:rPr>
          <w:rFonts w:ascii="Times New Roman"/>
          <w:b w:val="false"/>
          <w:i w:val="false"/>
          <w:color w:val="000000"/>
          <w:sz w:val="28"/>
        </w:rPr>
        <w:t>
      Сводная сезонная ведомость образования</w:t>
      </w:r>
    </w:p>
    <w:bookmarkEnd w:id="32"/>
    <w:p>
      <w:pPr>
        <w:spacing w:after="0"/>
        <w:ind w:left="0"/>
        <w:jc w:val="both"/>
      </w:pPr>
      <w:r>
        <w:rPr>
          <w:rFonts w:ascii="Times New Roman"/>
          <w:b w:val="false"/>
          <w:i w:val="false"/>
          <w:color w:val="000000"/>
          <w:sz w:val="28"/>
        </w:rPr>
        <w:t>
      и накопления коммунальных отходов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объек-</w:t>
            </w:r>
          </w:p>
          <w:p>
            <w:pPr>
              <w:spacing w:after="20"/>
              <w:ind w:left="20"/>
              <w:jc w:val="both"/>
            </w:pPr>
            <w:r>
              <w:rPr>
                <w:rFonts w:ascii="Times New Roman"/>
                <w:b w:val="false"/>
                <w:i w:val="false"/>
                <w:color w:val="000000"/>
                <w:sz w:val="20"/>
              </w:rPr>
              <w:t>
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объ-</w:t>
            </w:r>
          </w:p>
          <w:p>
            <w:pPr>
              <w:spacing w:after="20"/>
              <w:ind w:left="20"/>
              <w:jc w:val="both"/>
            </w:pPr>
            <w:r>
              <w:rPr>
                <w:rFonts w:ascii="Times New Roman"/>
                <w:b w:val="false"/>
                <w:i w:val="false"/>
                <w:color w:val="000000"/>
                <w:sz w:val="20"/>
              </w:rPr>
              <w:t>
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чет-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няя плот-</w:t>
            </w:r>
          </w:p>
          <w:p>
            <w:pPr>
              <w:spacing w:after="20"/>
              <w:ind w:left="20"/>
              <w:jc w:val="both"/>
            </w:pPr>
            <w:r>
              <w:rPr>
                <w:rFonts w:ascii="Times New Roman"/>
                <w:b w:val="false"/>
                <w:i w:val="false"/>
                <w:color w:val="000000"/>
                <w:sz w:val="20"/>
              </w:rPr>
              <w:t>
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w:t>
            </w:r>
          </w:p>
          <w:p>
            <w:pPr>
              <w:spacing w:after="20"/>
              <w:ind w:left="20"/>
              <w:jc w:val="both"/>
            </w:pPr>
            <w:r>
              <w:rPr>
                <w:rFonts w:ascii="Times New Roman"/>
                <w:b w:val="false"/>
                <w:i w:val="false"/>
                <w:color w:val="000000"/>
                <w:sz w:val="20"/>
              </w:rPr>
              <w:t>
рано втор. сырья (при раз-</w:t>
            </w:r>
          </w:p>
          <w:p>
            <w:pPr>
              <w:spacing w:after="20"/>
              <w:ind w:left="20"/>
              <w:jc w:val="both"/>
            </w:pPr>
            <w:r>
              <w:rPr>
                <w:rFonts w:ascii="Times New Roman"/>
                <w:b w:val="false"/>
                <w:i w:val="false"/>
                <w:color w:val="000000"/>
                <w:sz w:val="20"/>
              </w:rPr>
              <w:t>
дель-</w:t>
            </w:r>
          </w:p>
          <w:p>
            <w:pPr>
              <w:spacing w:after="20"/>
              <w:ind w:left="20"/>
              <w:jc w:val="both"/>
            </w:pPr>
            <w:r>
              <w:rPr>
                <w:rFonts w:ascii="Times New Roman"/>
                <w:b w:val="false"/>
                <w:i w:val="false"/>
                <w:color w:val="000000"/>
                <w:sz w:val="20"/>
              </w:rPr>
              <w:t>
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w:t>
            </w:r>
          </w:p>
          <w:p>
            <w:pPr>
              <w:spacing w:after="20"/>
              <w:ind w:left="20"/>
              <w:jc w:val="both"/>
            </w:pPr>
            <w:r>
              <w:rPr>
                <w:rFonts w:ascii="Times New Roman"/>
                <w:b w:val="false"/>
                <w:i w:val="false"/>
                <w:color w:val="000000"/>
                <w:sz w:val="20"/>
              </w:rPr>
              <w:t>
чет-</w:t>
            </w:r>
          </w:p>
          <w:p>
            <w:pPr>
              <w:spacing w:after="20"/>
              <w:ind w:left="20"/>
              <w:jc w:val="both"/>
            </w:pPr>
            <w:r>
              <w:rPr>
                <w:rFonts w:ascii="Times New Roman"/>
                <w:b w:val="false"/>
                <w:i w:val="false"/>
                <w:color w:val="000000"/>
                <w:sz w:val="20"/>
              </w:rPr>
              <w:t>
ную еди-</w:t>
            </w:r>
          </w:p>
          <w:p>
            <w:pPr>
              <w:spacing w:after="20"/>
              <w:ind w:left="20"/>
              <w:jc w:val="both"/>
            </w:pPr>
            <w:r>
              <w:rPr>
                <w:rFonts w:ascii="Times New Roman"/>
                <w:b w:val="false"/>
                <w:i w:val="false"/>
                <w:color w:val="000000"/>
                <w:sz w:val="20"/>
              </w:rPr>
              <w:t>
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p>
      <w:pPr>
        <w:spacing w:after="0"/>
        <w:ind w:left="0"/>
        <w:jc w:val="both"/>
      </w:pPr>
      <w:r>
        <w:rPr>
          <w:rFonts w:ascii="Times New Roman"/>
          <w:b w:val="false"/>
          <w:i w:val="false"/>
          <w:color w:val="000000"/>
          <w:sz w:val="28"/>
        </w:rPr>
        <w:t>
      Форма</w:t>
      </w:r>
    </w:p>
    <w:bookmarkStart w:name="z41" w:id="33"/>
    <w:p>
      <w:pPr>
        <w:spacing w:after="0"/>
        <w:ind w:left="0"/>
        <w:jc w:val="both"/>
      </w:pPr>
      <w:r>
        <w:rPr>
          <w:rFonts w:ascii="Times New Roman"/>
          <w:b w:val="false"/>
          <w:i w:val="false"/>
          <w:color w:val="000000"/>
          <w:sz w:val="28"/>
        </w:rPr>
        <w:t>
      Сводная годовая ведомость образования и накопления</w:t>
      </w:r>
    </w:p>
    <w:bookmarkEnd w:id="33"/>
    <w:p>
      <w:pPr>
        <w:spacing w:after="0"/>
        <w:ind w:left="0"/>
        <w:jc w:val="both"/>
      </w:pPr>
      <w:r>
        <w:rPr>
          <w:rFonts w:ascii="Times New Roman"/>
          <w:b w:val="false"/>
          <w:i w:val="false"/>
          <w:color w:val="000000"/>
          <w:sz w:val="28"/>
        </w:rPr>
        <w:t>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w:t>
            </w:r>
          </w:p>
          <w:p>
            <w:pPr>
              <w:spacing w:after="20"/>
              <w:ind w:left="20"/>
              <w:jc w:val="both"/>
            </w:pPr>
            <w:r>
              <w:rPr>
                <w:rFonts w:ascii="Times New Roman"/>
                <w:b w:val="false"/>
                <w:i w:val="false"/>
                <w:color w:val="000000"/>
                <w:sz w:val="20"/>
              </w:rPr>
              <w:t>
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тво изме-</w:t>
            </w:r>
          </w:p>
          <w:p>
            <w:pPr>
              <w:spacing w:after="20"/>
              <w:ind w:left="20"/>
              <w:jc w:val="both"/>
            </w:pPr>
            <w:r>
              <w:rPr>
                <w:rFonts w:ascii="Times New Roman"/>
                <w:b w:val="false"/>
                <w:i w:val="false"/>
                <w:color w:val="000000"/>
                <w:sz w:val="20"/>
              </w:rPr>
              <w:t>
ряе-</w:t>
            </w:r>
          </w:p>
          <w:p>
            <w:pPr>
              <w:spacing w:after="20"/>
              <w:ind w:left="20"/>
              <w:jc w:val="both"/>
            </w:pPr>
            <w:r>
              <w:rPr>
                <w:rFonts w:ascii="Times New Roman"/>
                <w:b w:val="false"/>
                <w:i w:val="false"/>
                <w:color w:val="000000"/>
                <w:sz w:val="20"/>
              </w:rPr>
              <w:t>
мых еди-</w:t>
            </w:r>
          </w:p>
          <w:p>
            <w:pPr>
              <w:spacing w:after="20"/>
              <w:ind w:left="20"/>
              <w:jc w:val="both"/>
            </w:pPr>
            <w:r>
              <w:rPr>
                <w:rFonts w:ascii="Times New Roman"/>
                <w:b w:val="false"/>
                <w:i w:val="false"/>
                <w:color w:val="000000"/>
                <w:sz w:val="20"/>
              </w:rPr>
              <w:t>
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 нерав-</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ряемую еди-</w:t>
            </w:r>
          </w:p>
          <w:p>
            <w:pPr>
              <w:spacing w:after="20"/>
              <w:ind w:left="20"/>
              <w:jc w:val="both"/>
            </w:pPr>
            <w:r>
              <w:rPr>
                <w:rFonts w:ascii="Times New Roman"/>
                <w:b w:val="false"/>
                <w:i w:val="false"/>
                <w:color w:val="000000"/>
                <w:sz w:val="20"/>
              </w:rPr>
              <w:t>
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w:t>
            </w:r>
          </w:p>
          <w:p>
            <w:pPr>
              <w:spacing w:after="20"/>
              <w:ind w:left="20"/>
              <w:jc w:val="both"/>
            </w:pPr>
            <w:r>
              <w:rPr>
                <w:rFonts w:ascii="Times New Roman"/>
                <w:b w:val="false"/>
                <w:i w:val="false"/>
                <w:color w:val="000000"/>
                <w:sz w:val="20"/>
              </w:rPr>
              <w:t>
ряемую еди-</w:t>
            </w:r>
          </w:p>
          <w:p>
            <w:pPr>
              <w:spacing w:after="20"/>
              <w:ind w:left="20"/>
              <w:jc w:val="both"/>
            </w:pPr>
            <w:r>
              <w:rPr>
                <w:rFonts w:ascii="Times New Roman"/>
                <w:b w:val="false"/>
                <w:i w:val="false"/>
                <w:color w:val="000000"/>
                <w:sz w:val="20"/>
              </w:rPr>
              <w:t>
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Среднее за сутки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городу Алматы</w:t>
            </w:r>
          </w:p>
        </w:tc>
      </w:tr>
    </w:tbl>
    <w:bookmarkStart w:name="z43" w:id="34"/>
    <w:p>
      <w:pPr>
        <w:spacing w:after="0"/>
        <w:ind w:left="0"/>
        <w:jc w:val="left"/>
      </w:pPr>
      <w:r>
        <w:rPr>
          <w:rFonts w:ascii="Times New Roman"/>
          <w:b/>
          <w:i w:val="false"/>
          <w:color w:val="000000"/>
        </w:rPr>
        <w:t xml:space="preserve"> Расчет норм образования и накопления</w:t>
      </w:r>
      <w:r>
        <w:br/>
      </w:r>
      <w:r>
        <w:rPr>
          <w:rFonts w:ascii="Times New Roman"/>
          <w:b/>
          <w:i w:val="false"/>
          <w:color w:val="000000"/>
        </w:rPr>
        <w:t>коммунальных отходов</w:t>
      </w:r>
    </w:p>
    <w:bookmarkEnd w:id="34"/>
    <w:bookmarkStart w:name="z44" w:id="35"/>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35"/>
    <w:bookmarkStart w:name="z45" w:id="36"/>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6"/>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bookmarkStart w:name="z46" w:id="37"/>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в случае, если количество контейнеров для сбора коммунальных отходов на контейнерной площадке объекта более одного:</w:t>
      </w:r>
    </w:p>
    <w:bookmarkEnd w:id="37"/>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7" w:id="3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38"/>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bookmarkStart w:name="z48" w:id="3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39"/>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9" w:id="40"/>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40"/>
    <w:bookmarkStart w:name="z50" w:id="41"/>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bookmarkEnd w:id="41"/>
    <w:bookmarkStart w:name="z51" w:id="42"/>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42"/>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Start w:name="z52" w:id="4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43"/>
    <w:p>
      <w:pPr>
        <w:spacing w:after="0"/>
        <w:ind w:left="0"/>
        <w:jc w:val="both"/>
      </w:pPr>
      <w:r>
        <w:rPr>
          <w:rFonts w:ascii="Times New Roman"/>
          <w:b w:val="false"/>
          <w:i w:val="false"/>
          <w:color w:val="000000"/>
          <w:sz w:val="28"/>
        </w:rPr>
        <w:t>
      mсез = mсут1 + mсут2 +…. + mсут7,</w:t>
      </w:r>
    </w:p>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Start w:name="z53" w:id="4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44"/>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 / (n x 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Start w:name="z54" w:id="45"/>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45"/>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где   n - число сезонов образования отходов (n = 4);</w:t>
      </w:r>
    </w:p>
    <w:bookmarkStart w:name="z55" w:id="4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46"/>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56" w:id="47"/>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47"/>
    <w:bookmarkStart w:name="z57" w:id="48"/>
    <w:p>
      <w:pPr>
        <w:spacing w:after="0"/>
        <w:ind w:left="0"/>
        <w:jc w:val="both"/>
      </w:pPr>
      <w:r>
        <w:rPr>
          <w:rFonts w:ascii="Times New Roman"/>
          <w:b w:val="false"/>
          <w:i w:val="false"/>
          <w:color w:val="000000"/>
          <w:sz w:val="28"/>
        </w:rPr>
        <w:t>
      1) определение средней плотности коммунальных отходов (</w:t>
      </w:r>
    </w:p>
    <w:bookmarkEnd w:id="48"/>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ср, кг/м3) производят по формуле:</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ср = m/V,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Start w:name="z58" w:id="4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49"/>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bookmarkStart w:name="z59" w:id="5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50"/>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Vmaxсут/mсс,</w:t>
      </w:r>
    </w:p>
    <w:p>
      <w:pPr>
        <w:spacing w:after="0"/>
        <w:ind w:left="0"/>
        <w:jc w:val="both"/>
      </w:pPr>
      <w:r>
        <w:rPr>
          <w:rFonts w:ascii="Times New Roman"/>
          <w:b w:val="false"/>
          <w:i w:val="false"/>
          <w:color w:val="000000"/>
          <w:sz w:val="28"/>
        </w:rPr>
        <w:t>
            где Vmaxсут - максимальная суточная масса образования и накопления коммунальных отходов на объекте в сезон, кг.</w:t>
      </w:r>
    </w:p>
    <w:bookmarkStart w:name="z60" w:id="51"/>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