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f072" w14:textId="fdbf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сельского округа Жансары Осакаровского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9 июня 2015 года № 32/07. Зарегистрировано Департаментом юстиции Карагандинской области 29 июня 2015 года № 3303. Утратило силу постановлением акимата Осакаровского района Карагандинской области от 27 апреля 2016 года № 21/03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27.04.2016 № 21/03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17.08.2015 № 42/01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 всему тексту слова "Аппарат акима Дальнего сельского округа Осакаровского района Карагандинской области" заменены словами "Аппарат акима сельского округа Жансары Осакаровского района Карагандинской области" 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17.08.2015 № 42/01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сельского округа Жансары Осакаровского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17.08.2015 № 42/01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Абилсеитову Валентину Владимировну.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С.Аймаков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1504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июня 2015 года № 32/07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сельского округа Жансары Осакаровского района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"Аппарат акима сельского округа Жансары Осакаровского района Карагандинской области" (далее - государственное учреждение) является государственным органом Республики Казахстан, осуществляющим руководство в сфере государственного управления, обеспечивающим проведение государственной политики на территории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101004, Карагандинская область, Осакаровский район, село Дальнее, улица Мира, дом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сельского округа Жансары Осакаровского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государственного учреждения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государственной политики на территории соответствующей административно-территориальной единицы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оказание содействия акиму сельского округа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основных направлений государственной, социально-экономической политики и управления социальными и экономическими процессами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мер по укреплению законности и правопорядка, повышению уровня правосознания граждан и их активной гражданской позиции в общественно–политической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проекты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проводит анализ проблем социально–экономического развития сельского округа,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информационно - аналитическое, организационно - правовое и материально - техническое обеспечение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документационное обеспечение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учет и рассмотрение обращений физических и юридических лиц, организует проведение личного приема граждан акимом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координацию и взаимодействие акима с правоохранительными органами и органами судебной системы по вопросам укрепления законности и правопорядка в сельском округе;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хранение решений,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оказание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 разработке бюджетной программы, администратором которой выступает аппарат акима, вынести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принимать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вносить в вышестоящие органы предложения по обеспечению занятости, оказанию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получать от ведомств, государственных органов управления на местах информационные, методические, нормативные материалы, статистические данные, необходимые для выполнения возложенных на государственное учреждение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вносить на рассмотрение акима района предложения по решению вопросов, относящихся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созывать в установленном порядке совещания по вопросам, входящим в компетенцию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обеспечивать повышение квалификации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жалоб и обращений физических и юридических лиц,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обязанности, вытекающие из задач и функций, определенных в настоящем Положении,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государственного учреждения назначается на должность и освобождается от должности акимом района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общее руководство государственного учреждения, координирует и контролирует работу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 вопросам своей компетенции в установленном законодательством порядке издает акты в виде решений и распоряжений;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подписывает финансовую и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смету расходов государственного учреждения и в ее пределах распоряжается финансовыми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должность и освобождает от должности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применяет меры поощрения и налагает дисциплинарные взыскания на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круг полномочий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утверждает должностные инструкции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выполняет поручения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коррупции, 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возложенные на него законодательством Республики Казахстан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