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47e6" w14:textId="7374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Пионерского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28 августа 2015 года № 561. Зарегистрировано Департаментом юстиции Жамбылской области 2 октября 2015 года № 2794. Утратило силу постановлением Жамбылского районного акимата Жамбылской области от 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Жамбылского районного акимата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Пионерского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Пионерского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28 августа 2015 года № 561</w:t>
            </w:r>
          </w:p>
        </w:tc>
      </w:tr>
    </w:tbl>
    <w:bookmarkStart w:name="z15"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Пионерского аульного округа Жамбылского района Жамбылской области"</w:t>
      </w:r>
    </w:p>
    <w:bookmarkEnd w:id="0"/>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Пионерского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Пионерского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080214, Республика Казахстан, Жамбылская область, Жамбылский район, село Пионер, улица Жамбыла, дом № 50.</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Пионерского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Пионерского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18)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вносит в районный исполнительный орган предложений по организации транспортного сообщения с районным центром, а также организует бесплатный подвоз учащихся до школы и обратно в аульную местность;</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w:t>
      </w:r>
      <w:r>
        <w:rPr>
          <w:rFonts w:ascii="Times New Roman"/>
          <w:b w:val="false"/>
          <w:i w:val="false"/>
          <w:color w:val="000000"/>
          <w:sz w:val="28"/>
        </w:rPr>
        <w:t>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 xml:space="preserve">предоставлять необходимые материалы и информацию в пределах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Пионерского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Пионерского аульного округа Жамбылского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Пионерского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5) во всех органах представляет интересы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6) распоряжается имуществом, заключает договоры от имени аппарата акима аульного округа выдает доверенности;</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распоряжения и решения,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возглавляется акимом Пионерского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4" w:id="4"/>
    <w:p>
      <w:pPr>
        <w:spacing w:after="0"/>
        <w:ind w:left="0"/>
        <w:jc w:val="left"/>
      </w:pPr>
      <w:r>
        <w:rPr>
          <w:rFonts w:ascii="Times New Roman"/>
          <w:b/>
          <w:i w:val="false"/>
          <w:color w:val="000000"/>
        </w:rPr>
        <w:t xml:space="preserve"> 4. Имущество государственного органа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9"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Пионерского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