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1178" w14:textId="6cb1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 сентября 2015 года № 282. Зарегистрировано Департаментом юстиции Актюбинской области 22 сентября 2015 года № 4522. Утратило силу решением маслихата Хромтауского района Актюбинской области от 18 февраля 2016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</w:t>
      </w:r>
      <w:r>
        <w:rPr>
          <w:rFonts w:ascii="Times New Roman"/>
          <w:b w:val="false"/>
          <w:i w:val="false"/>
          <w:color w:val="000000"/>
          <w:sz w:val="28"/>
        </w:rPr>
        <w:t>,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