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74e" w14:textId="1d06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декабря 2015 года № 757. Зарегистрирован в Министерстве юстиции Республики Казахстан 27 января 2016 года № 12939.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уполномоченного органа в сфере оказания государственных услуг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 (зарегистрированный в Реестре государственной регистрации нормативных правовых актов за № 8549, опубликованный в газете "Казахстанская правда"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ноября 2013 года № 307 (27581):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утвержденную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2013 года № 193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отчета деятельности центральных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акимов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услугодателе.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государственных услугах: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через Государственную корпорацию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на бесплатной и (или)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в бумажной и (или)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утвержденных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наиболее востребованных государственных услугах.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с услугополучателями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источниках и местах доступа к информации о порядке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публичных обсуждениях проектов стандартов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совершенствованию процессов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оптимизации и автоматизации процессов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повышение квалификации сотрудников в сфере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Нормативно-правовое совершенствование процессов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качеством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жалобах услугополучателей по вопросам оказания государственных услуг (приложение).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внутреннего контроля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стандарта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регламента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