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8165" w14:textId="5858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июня 2014 года № 28/01. Зарегистрировано Департаментом юстиции Карагандинской области 15 июля 2014 года № 2688. Утратило силу постановлением акимата Карагандинской области от 5 июня 2015 года № 30/07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05.06.2015 № 30/07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Абдишев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2014 года № 28/01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технического и профессионального образования"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"Предоставление общежития обучающимся в организациях технического и профессионального образования" являются организации технического и профессионального образования (далее - услугодатель) имеющие общежития, адреса и телефоны которых указаны на сайте krg-edu.kz.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направление о предоставлении общежития обучающимся в организациях технического и профессионального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образования", утвержденному постановлением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бумажная, направление о предоставлении общежития обучающимся в организациях технического и профессионального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поступающих документов работником учебной части на соответствие предъявляемым требованиям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расписки о получении всех документов.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руководителем, передача рассмотренных документов коменданту на исполнение. В течении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заявления и проверка представленных документов комендантом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результата государственной услуги и направление результата руководителю на подписание. В течение 8 (восьми)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руководителем и направление в учебную часть.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5 - выдача направления о предоставлении общежития обучающимся в организациях технического и профессионального образования.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– в течение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действия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коменданту, которые являются основанием для выполнения действия 3,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комендантом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направления, которые являются основанием для выполнения действия 4,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услугополучателю.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комендант.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поступающих документов услугополучателя в журнале входящей документации и передача документов руководителю.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руководителем, передача документов коменданту.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комендантом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результата и направление результата руководителю на подписание. В течение 8 (восьми)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подписанного руководителем результата оказания государственной услуги услугополучателю.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образования"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услугодателю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7437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образования"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Предоставление общежития обучающимся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технического и профессионального образования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7503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5"/>
        <w:gridCol w:w="11325"/>
      </w:tblGrid>
      <w:tr>
        <w:trPr>
          <w:trHeight w:val="30" w:hRule="atLeast"/>
        </w:trPr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2014 года № 28/01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 техническом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профессиональном образовании"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дубликатов документов о техническом и профессиональном образовании" являются организации технического и профессионального образования (далее – услугодатели), адреса и телефоны которых указаны на сайте krg-edu.kz.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на базе учебного заведения технического и профессионального образования или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дубликатов документов о техническом и профессиональном образовании.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на имя руководителя учебного заведения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образовании", утвержденного постановлением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работником учебной части на соответствие предъявляемым требованиям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расписки о получении всех документов. В течение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руководителем, передача рассмотренных документов работнику учебной части на исполнение. В течении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3- рассмотрение представленных документов работником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результата государственной услуги и направление результата руководителю на подписание. В течение 28 (двадцать восемь)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руководителем и направление в учебную часть.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5 - выдача подписанного руководителем результата государственной услуги услугополучателю.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действия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специалисту, которые являются основанием для выполнения действия 3,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направления, которые являются основанием для выполнения действия 4,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услугополучателю.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работником учебной части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течение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руководителем, передача рассмотренных документов работнику учебной части на исполнение. В течении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документов работником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результата государственной услуги и направление результата руководителю на подписание. В течение 28 (двадцать восемь)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руководителем и направление в учебную часть.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подписанного руководителем результата государственной услуги услугополучателю.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ЦОН по схеме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Регламента и представляют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Карагандинской области от 01.06.2015 </w:t>
      </w:r>
      <w:r>
        <w:rPr>
          <w:rFonts w:ascii="Times New Roman"/>
          <w:b w:val="false"/>
          <w:i w:val="false"/>
          <w:color w:val="000000"/>
          <w:sz w:val="28"/>
        </w:rPr>
        <w:t>N 29/06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в ЦОН с заявлением и пакетом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пакет документов и заявление передаются услугодателю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не позднее одного месяца с момента сдачи услугополучателем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 техническом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профессиональном образовании"</w:t>
      </w:r>
    </w:p>
    <w:bookmarkEnd w:id="23"/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услугодателя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3119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 техническом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профессиональном образовании"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ЦОН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3312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о техническом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профессиональном образовании"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Выдача дубликатов документов о</w:t>
      </w:r>
      <w:r>
        <w:br/>
      </w:r>
      <w:r>
        <w:rPr>
          <w:rFonts w:ascii="Times New Roman"/>
          <w:b/>
          <w:i w:val="false"/>
          <w:color w:val="000000"/>
        </w:rPr>
        <w:t>
техническом и профессиональном образовании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7249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5"/>
        <w:gridCol w:w="11325"/>
      </w:tblGrid>
      <w:tr>
        <w:trPr>
          <w:trHeight w:val="30" w:hRule="atLeast"/>
        </w:trPr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