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8810" w14:textId="6ae8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решение от 6 апреля 2012 года № 2/5-V "О Правилах предоставления жилищной помощи малообеспеченным семьям (гражданам) в Бескарагайском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Бескарагайского районного маслихата Восточно-Казахстанской области от 27 февраля 2013 года № 11/2-V. Зарегистрировано Департаментом юстиции Восточно-Казахстанской области 04 апреля 2013 года № 2924. Утратило силу решением Бескарагайского районного маслихата Восточно-Казахстанской области от 28 января 2015 года № 30/2-V</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Бескарагайского районного маслихата Восточно-Казахстанской области от 28.01.2015 № 30/2-V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2012 года № 1316 "О внесении изменения 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Бескарагайский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Бескарагайского районного маслихата от 6 апреля 2012 года № 2/5-V "О Правилах предоставления жилищной помощи малообеспеченным семьям (гражданам) в Бескарагайском районе" (зарегистрировано в Реестре государственной регистрации нормативных правовых актов за № 5-7-116, опубликовано в газете "Бескарагай тынысы" от 19 мая 2012 года № 41)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утвержденных данным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4)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 установленных местными представительными органами.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 Размер и порядок оказания жилищной помощи определяются местными представительными органами города республиканского значения, столицы,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5</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квитанцию –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за исключением абзацев восьмого, двенадцатого, тринадцатого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и положений абзацев десятого и одиннадцатого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которые вводятся в действие с 1 июля 2012 года.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ТОЛЕУОВ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Секретарь Бескарагайского</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районного маслихата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САДЫКОВ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