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126e" w14:textId="7bc1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"Учет иностранных периодических печатных изданий, распространяемых на территории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декабря 2012 года № 331. Зарегистрировано Департаментом юстиции Восточно-Казахстанской области 28 января 2013 года N 2848. Утратило силу - постановлением Восточно-Казахстанского областного акимата от 12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Восточно-Казахстанского областного акимата от 12.08.2013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«О средствах массовой информации»,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21-1)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«Учет иностранных периодических печатных изданий, распространяемых на территории Восточно-Казахстанской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Восточно-Казахстанской области Кошербаева Е.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331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«Учет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распространяемых на территории Восточно-Казахстанской области»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«Учет иностранных периодических печатных изданий, распространяемых на территории Восточно-Казахстанской области» (далее – электронная государственная услуга) оказывается управлением внутренней политики Восточно-Казахстанской области (далее - услугодатель), на безальтернативной основе через центры обслуживания населения (далее – ЦОН), а также через веб-портал «электронного правительства»: www.e.gov.kz при условии наличия у получателя государственной услуги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«Учет иностранных периодических печатных изданий, распространяемых на территории области, города республиканского значения, столицы», утвержденного постановлением Правительства Республики Казахстан от 30 декабря 2009 года № 2315.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(содержащая медиа–разрывы).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«Физические лица» (далее - ГБД ФЛ)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«Юридические лица» (далее - ГБД ЮЛ)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лиц, филиалов, представительств и субъектов индивидуального совместного предпринимательства, осуществляющих деятельность на территории Республики Казахстан,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МИО - информационная система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 ИНИС - информационная система «Интегрированная налоговая информационная система»;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 ЦОНа – информационная система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(далее - ИС)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ИИН)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-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РШЭП - региональный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ИС НУЦ - информационная система национального удостоверяющего центра.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ИИН/БИН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получателем государственной услуги ИИН/БИН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получателя государственной услуги заполненной формы (введенных данных и для физических лиц, прикрепленного сканированного документа, подтверждающего право на занятие предпринимательской деятельностью),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ИИН/БИН, указанными в запросе и ИИН/БИН,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на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получателя государственной услуги электронного документа (запроса получателя государственной услуги) через ШЭП/РШЭП в ИС МИО и обработка электронной государственной услуги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услугодателя результата оказания электронной государственной услуги (справка об учете иностранных периодических печатных изданий, распространяемых в Восточно-Казахстанской области, либо мотивированный ответ об отказе в оказании государственной услуги). Электронный документ формируется с использованием ЭЦП сотрудника услугодателя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(диаграмма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ЦОНа на ИС ЦОНа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на ИС ЦОНа подлинности данных о зарегистрированном операторе через логин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на ИС ЦОН, в связи с имеющимися нарушениями в данных оператора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ЦОНа услуги, указанной в настоящем Регламенте, вывод на экран формы запроса для оказания услуги и заполнение формы (ввод данных и для физических лиц, прикрепление сканированного документа, подтверждающего право на занятие предпринимательской деятельностью)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ЦОНа заполненной формы (введенных данных и для физических лиц, прикрепленного сканированного документа, подтверждающего право на занятие предпринимательской деятельностью) запроса на оказание электронной государственной услуги и получение информации о дальнейших действиях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указанными в запросе и ИИН,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получателя государственной услуги электронного документа (запроса получателя государственной услуги) через ШЭП/РШЭП в ИС МИО и обработка электронной государственной услуги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услугодателя результата оказания электронной государственной услуги (справка об учете иностранных периодических печатных изданий, распространяемых в Восточно-Казахстанской области, либо мотивированный ответ об отказе в оказании государственной услуги). Электронный документ формируется с использованием ЭЦП сотрудника услугодателя и передается в ИС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выдача сотрудником ЦОНа нарочно или посредством отправки на электронную почту получателю государственной услуги результата электронной государственной услуги - справки об учете иностранных периодических печатных изданий, распространяемых в Восточно-Казахстанской области,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МИО (диаграмма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регистрацию в ИС МИО с помощью ИИН 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услугодателя ИИН и пароля (процесс авторизации) в ИС МИО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в ИС МИО подлинности данных о зарегистрированном сотруднике услугодателя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ИС МИО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услугодателя услуги, указанной в настоящем Регламенте, вывод на экран формы запроса для оказания услуги и заполнение формы (ввод данных и для физических лиц, прикрепление сканированного документа, подтверждающего право на занятие предпринимательской деятельностью)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сотрудника услугодателя заполненной формы (введенных данных и для физических лиц, прикрепленного сканированного документа, подтверждающего право на занятие предпринимательской деятельностью)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указанными в запросе и ИИН,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неподтверждением подлинности ЭЦП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услугодателя результата оказания электронной государственной услуги - справки об учете иностранных периодических печатных изданий, распространяемых в Восточно-Казахстанской области, либо мотивированного ответа об отказе в оказании государственной услуги. Электронный документ формируется с использованием ЭЦП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услугодателя нарочно или посредством отправки на электронную почту получателю государственной услуги результата электронной государственной услуги - справки об учете иностранных периодических печатных изданий, распространяемых в Восточно-Казахстанской области,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Экранная форма заполнения запроса и ответа на электронную государственную услугу, предоставляемую получателю государственной услуги на государственном и русском языках,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Получатель может проверить статус исполнения запроса по электронной государственной услуге на портале «электронного правительства» в разделе «История получения услуг» или при обращении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Информацию об электронной государственной услуге, также в случае необходимости оценки (в том числе обжалования) ее качества, можно получить по телефону саll–центра ПЭП: (1414).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Структурно–функциональные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РШЭП/ШЭП;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операций), с указанием срока выполнения каждого действия,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приведены формы, в соответствии с которыми должен быть представлен результат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сохранность (защита от несанкционированного удаления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выдается электронный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ПЭП, ИС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ЭЦП пользователя.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изданий, распространяемых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области»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97917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Диаграмма функционального взаимодействия при оказании «частично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автоматизированной» электронной государственной услуги через ПЭП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изданий, распространяемых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области»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98171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71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Диаграмма функционального взаимодействия при оказании «частично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автоматизированной» электронной государственной услуги через ИС ЦОНа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изданий, распространяемых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96901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901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Диаграмма функционального взаимодействия при оказании «частично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автоматизированной» электронной государственной услуги через ИС МИО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изданий, распространяемых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804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 адрес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регистрирующего заявление)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учете иностранных периодических печатных изданий, 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распространяемых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на учет иностранные периодические печатные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издания, распространяемые в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Данные распространителя: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 (наименование индивидуального предпринимателя /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 указанием организационно-правовой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 (ИИН/БИН, РНН, номер и дата выдачи регистрационного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(место регистрации, фактический адрес, контактные телефоны, электронная почта)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1836"/>
        <w:gridCol w:w="2028"/>
        <w:gridCol w:w="2227"/>
        <w:gridCol w:w="1914"/>
        <w:gridCol w:w="1876"/>
        <w:gridCol w:w="2220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периодических печатных изданий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иностранных периодических печатных изданий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распространяемых иностранных периодических печатных изданий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направленность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распространяемых экземпляров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первого руководителя /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   «___»___________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«Электрондық құжат және электрондық цифрлық қолтаңба туралы» 2003 жылғы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қаңтардағы N 370-II ҚРЗ 7-бабының 1- тармағына сәйкес қағаз тасығыштағы құжатқа тең.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Данный документ согласно пункту 1 статьи 7 ЗРК от 7 января 2003 года «Об электронном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документе и электронной цифровой подписи» равнозначен документу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3086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* Штрих-код «Электрондық әкімдік» ақпараттық жүйесі ұсынған және электрондық-цифрлық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қолтаңбамен қол қойылған деректерді қамтиды {указать подразделение} (Указать регион).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Штрих-код содержит данные, предоставленные информационной системой « Электронный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акимат» и подписанные электронно-цифровой подписью {указать подразделение}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регион).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изданий, распространяемых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(процедур, функций, операций)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действия Таблица 1. Описание действий посредством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3038"/>
        <w:gridCol w:w="2374"/>
        <w:gridCol w:w="1644"/>
        <w:gridCol w:w="2395"/>
        <w:gridCol w:w="25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РШЭП/ШЭП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документов, ввод данных в ИС МИО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в ГБД ФЛ/ГБД ЮЛ/ ИС ИНИС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статусах из ИС МИО в ИС ЦОН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2953"/>
        <w:gridCol w:w="2202"/>
        <w:gridCol w:w="1837"/>
        <w:gridCol w:w="2310"/>
        <w:gridCol w:w="27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РШЭП/ШЭП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4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справки об учете иностранных периодических печатных изданий, либо мотивированного ответа об отказе в оказании государственной услуги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справки. Формирование уведомления о смене статуса оказания услуги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уведомления, статуса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 об учете иностранных периодических печатных изданий, либо мотивированного ответа об отказе в оказании государственной услуги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статусов исполнения запроса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2985"/>
        <w:gridCol w:w="2109"/>
        <w:gridCol w:w="1874"/>
        <w:gridCol w:w="2345"/>
        <w:gridCol w:w="27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РШЭП/ШЭП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регистрация выходного документа, подписанного ЭЦП МИО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ЦОН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выходным документом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 получателю государственной услуги при обращении в МИО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953"/>
        <w:gridCol w:w="2212"/>
        <w:gridCol w:w="1843"/>
        <w:gridCol w:w="1734"/>
        <w:gridCol w:w="1777"/>
        <w:gridCol w:w="167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 СФЕ, ИС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РШЭП/ШЭП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документов, ввод данных в ИС ЦОН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в ГБД ФЛ/ГБД ЮЛ/ ИС ИНИС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ИС ЦОН в ИС МИО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документов, принятие заявления в работу 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получение услуги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заявления в статусе поступившие из ЦОН в ИС МИО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841"/>
        <w:gridCol w:w="2344"/>
        <w:gridCol w:w="1805"/>
        <w:gridCol w:w="1805"/>
        <w:gridCol w:w="1957"/>
        <w:gridCol w:w="141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РШЭП/ШЭП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 Формирование справки об учете иностранных периодических печатных изданий, либо мотивированного ответа об отказе в оказании государственной услуги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 Формирование уведомления о смене статуса оказания услуги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уведомления, статуса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 об учете иностранных периодических печатных изданий, либо мотивированного ответа об отказе в оказании государственной услуги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статусов исполнения запроса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841"/>
        <w:gridCol w:w="2409"/>
        <w:gridCol w:w="1675"/>
        <w:gridCol w:w="1827"/>
        <w:gridCol w:w="2000"/>
        <w:gridCol w:w="141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/ШЭП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регистрация выходного документа, подписанного ЭЦП МИО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с выходным документом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выходным документом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 потребителю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ЦОН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2845"/>
        <w:gridCol w:w="2024"/>
        <w:gridCol w:w="1937"/>
        <w:gridCol w:w="2067"/>
        <w:gridCol w:w="1592"/>
        <w:gridCol w:w="15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/ШЭП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МИО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данных (ЭЦП получателя государственной услуги) Сохранение заявления и отправка посредством РШЭП/ШЭП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в ИС МИО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уведомления об отказе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452"/>
        <w:gridCol w:w="2279"/>
        <w:gridCol w:w="1761"/>
        <w:gridCol w:w="2129"/>
        <w:gridCol w:w="1913"/>
        <w:gridCol w:w="15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РШЭП/ШЭП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справки об учете иностранных периодических печатных изданий, либо мотивированного ответа об отказе в оказании государственной услуги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документа. Формирование уведомления о смене статуса оказания услуги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«в работе» на ПЭП и ИС ЦОН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 об учете иностранных периодических печатных изданий, либо мотивированного ответа об отказе в оказании государственной услуги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 с выходным документом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149"/>
        <w:gridCol w:w="2299"/>
        <w:gridCol w:w="2107"/>
        <w:gridCol w:w="2107"/>
        <w:gridCol w:w="1894"/>
        <w:gridCol w:w="15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РШЭП/ШЭП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 Подписание документа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на ПЭП и ИС ЦОН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с выводом выходного документа на ПЭП и уведомления о смене статуса в ИС ЦОН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исполненные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изданий, распространяемых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выходного документа (справки)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804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органа, выдавшего справку распространителю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
об учете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распространяемых в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453"/>
      </w:tblGrid>
      <w:tr>
        <w:trPr>
          <w:trHeight w:val="73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(регистрационный номер)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от «___» __________ 20__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«О средствах массовой информации»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распространителя и его организационно-правовая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подтверждает постановку на учет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 с «___» 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Полный перечень названий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Территория распространения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Данная справка действительна до «___» ________ 20___ года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органа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 «___»___________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«Электрондық құжат және электрондық цифрлық қолтанба туралы» 2003 жылғы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қаңтардағы N 370-II ҚРЗ 7-бабының 1- тармағына сәйкес қағаз тасығыштағы құжатқа тең.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Данный документ согласно пункту 1 статьи 7 ЗРК от 7 января 2003 года «Об электронном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документе и электронной цифровой подписи» равнозначен документу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3086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* Штрих-код «Электрондық әкімдік» ақпараттық жүйесі ұсынған және электрондық-цифрлық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қолтаңбамен қол қойылған деректерді қамтиды {указать подразделение} ({Указать регион}).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Штрих-код содержит данные, предоставленные информационной системой «Электронный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акимат» и подписанные электронно-цифровой подписью {указать подразделение} ({Указать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регион}).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выходного документа (отказа)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804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 в учете иностранных периодических печатных изданий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местного исполнительного органа, выдавшего справку распространителю)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Не представлены все необходимые документы, предусмотренные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учета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в Республике Казахстан, утвержденных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29 июля 2002 года № 843.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заявлении указана неполная или недостоверная информация.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отношении распространителя имеется решение суда,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запрещающее ему занятие данным видом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отношении продукции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 имеется решение суда о наложении запрета на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распространение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постановка на учет не представляется возможной.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названий иностранных периодических печатных изданий: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органа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 «___»___________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выходного документа (комбинированный ответ)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804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местного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органа, выдавшего справку распространителю)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№ _________</w:t>
      </w:r>
      <w:r>
        <w:br/>
      </w:r>
      <w:r>
        <w:rPr>
          <w:rFonts w:ascii="Times New Roman"/>
          <w:b/>
          <w:i w:val="false"/>
          <w:color w:val="000000"/>
        </w:rPr>
        <w:t>
об учете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распространяемых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«О средствах массовой информации»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распространителя и его организационно-правовая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подтверждает постановку на учет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 с «___» 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Полный перечень названий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Территория распространения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 в учете иностранных периодических печатных изданий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названий иностранных периодических печатных изданий: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тем,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все необходимые документы, предусмотренные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учета иностранных периодических печатных издании,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в Республике Казахстан, утвержденных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29 июля 2002 года № 843;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заявлении указана неполная или недостоверная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отношении распространителя имеется решение суда,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запрещающее ему занятие данным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продукции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 имеется решение суда о наложении запрета на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распространение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Данная справка действительна до «___» 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органа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 «___»___________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«Электрондық құжат және электрондық цифрлық қолтанба туралы» 2003 жылғы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қаңтардағы N 370-II ҚРЗ 7-бабының 1- тармағына сәйкес қағаз тасығыштағы құжатқа тең.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Данный документ согласно пункту 1 статьи 7 ЗРК от 7 января 2003 года «Об электронном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документе и электронной цифровой подписи» равнозначен документу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3086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* Штрих-код «Электрондық әкімдік» ақпараттық жүйесі ұсынған және электрондық-цифрлық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қолтаңбамен қол қойылған деректерді қамтиды {указать подразделение} ({Указать регион}).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Штрих-код содержит данные, предоставленные информационной системой «Электронный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акимат» и подписанные электронно-цифровой подписью {указать подразделение}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регион).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изданий, распространяемых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доступности информации о порядке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