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a271" w14:textId="b13a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апреля 2012 года № 162. Зарегистрировано в Министерстве юстиции Республики Казахстан 2 июля 2012 года № 7779. Утратило силу постановлением Правления Национального Банка Республики Казахстан от 30 мая 2016 года № 126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порядка выбора внешних управляющих активами Национального фонда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Республики Казахстан под № 4360)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выбора внешних управляющих активами Национального фонда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 Обязательные критерии для мандатов, в которых объем передаваемых активов одному внешнему управляющему превышает эквивалент 300 (трехсот) миллионов долларов США:</w:t>
      </w:r>
      <w:r>
        <w:br/>
      </w:r>
      <w:r>
        <w:rPr>
          <w:rFonts w:ascii="Times New Roman"/>
          <w:b w:val="false"/>
          <w:i w:val="false"/>
          <w:color w:val="000000"/>
          <w:sz w:val="28"/>
        </w:rPr>
        <w:t>
      1) не менее 10 (десяти) лет опыта работы с финансовыми инструментами, в которые предполагается инвестировать активы Фонда, из которых не менее 5 (пяти) лет опыта работы по объявленному типу мандата.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5 (пяти) лет опыта работы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2) размер активов под управлением: внешний управляющий должен иметь под управлением совокупные активы клиентов (в том числе, находящихся на консультационном обслуживании) не менее эквивалента 25 (двадцати пяти) миллиардов долларов США;</w:t>
      </w:r>
      <w:r>
        <w:br/>
      </w:r>
      <w:r>
        <w:rPr>
          <w:rFonts w:ascii="Times New Roman"/>
          <w:b w:val="false"/>
          <w:i w:val="false"/>
          <w:color w:val="000000"/>
          <w:sz w:val="28"/>
        </w:rPr>
        <w:t>
      3) размер активов по рассматриваемому типу мандата под управлением: внешний управляющий должен иметь по рассматриваемому типу мандата совокупные активы клиентов не менее эквивалента 1 (одного) миллиарда долларов США.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1 (одного) миллиарда долларов США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w:t>
      </w:r>
      <w:r>
        <w:rPr>
          <w:rFonts w:ascii="Times New Roman"/>
          <w:b w:val="false"/>
          <w:i w:val="false"/>
          <w:color w:val="000000"/>
          <w:sz w:val="28"/>
        </w:rPr>
        <w:t>
      19-2. Обязательные критерии для специализированных мандатов, в которых объем передаваемых активов одному внешнему управляющему не превышает эквивалент 300 (трехсот) миллионов долларов США:</w:t>
      </w:r>
      <w:r>
        <w:br/>
      </w:r>
      <w:r>
        <w:rPr>
          <w:rFonts w:ascii="Times New Roman"/>
          <w:b w:val="false"/>
          <w:i w:val="false"/>
          <w:color w:val="000000"/>
          <w:sz w:val="28"/>
        </w:rPr>
        <w:t>
      1) не менее 5 (пяти) лет опыта работы с финансовыми инструментами, в которые предполагается инвестировать активы Фонда, из которых не менее 3 (трех) лет опыта работы по объявленному типу мандата.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3 (трех) лет опыта работы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2) размер активов под управлением: внешний управляющий должен иметь под управлением совокупные активы клиентов (в том числе, находящихся на консультационном обслуживании) не менее эквивалента 3 (трех) миллиардов долларов США, за исключением внешних управляющих по мандатам альтернативных инструментов, для которых размер совокупных активов клиентов под управлением должен быть не менее 1 (одного) миллиарда долларов США;</w:t>
      </w:r>
      <w:r>
        <w:br/>
      </w:r>
      <w:r>
        <w:rPr>
          <w:rFonts w:ascii="Times New Roman"/>
          <w:b w:val="false"/>
          <w:i w:val="false"/>
          <w:color w:val="000000"/>
          <w:sz w:val="28"/>
        </w:rPr>
        <w:t>
      3) размер активов по рассматриваемому типу мандата под управлением: внешний управляющий должен иметь по рассматриваемому типу мандата совокупные активы клиентов не менее эквивалента 150 (ста пятидесяти) миллионов долларов США.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150 (ста пятидесяти) миллионов долларов США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После начала действия специализированного мандата одному внешнему управляющему по результатам его управления передаются активы в размере, превышающем 300 (триста) миллионов долларов США, но не более ограничения, указанного в пункте 12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Процедура оценки эффективности работы внешнего управляющего осуществляется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и по результатам проведенного анализа Правлением Национального Банка либо Полномочным представителем принимается соответствующее решение о продолжении работы с данным внешним управляющим или о ее прекращении. Решение принимается на основе результатов внешнего управляющего за период управления в 3 (три)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val="false"/>
          <w:color w:val="000000"/>
          <w:sz w:val="28"/>
        </w:rPr>
        <w:t>«СОГЛАСОВАНО»</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 Б. Жамишев</w:t>
      </w:r>
      <w:r>
        <w:br/>
      </w:r>
      <w:r>
        <w:rPr>
          <w:rFonts w:ascii="Times New Roman"/>
          <w:b w:val="false"/>
          <w:i w:val="false"/>
          <w:color w:val="000000"/>
          <w:sz w:val="28"/>
        </w:rPr>
        <w:t>
1 июня 2012 года</w:t>
      </w:r>
    </w:p>
    <w:bookmarkStart w:name="z9" w:id="2"/>
    <w:p>
      <w:pPr>
        <w:spacing w:after="0"/>
        <w:ind w:left="0"/>
        <w:jc w:val="both"/>
      </w:pPr>
      <w:r>
        <w:rPr>
          <w:rFonts w:ascii="Times New Roman"/>
          <w:b w:val="false"/>
          <w:i w:val="false"/>
          <w:color w:val="000000"/>
          <w:sz w:val="28"/>
        </w:rPr>
        <w:t xml:space="preserve">
Приложение 1 к постановлению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2012 года № 162        </w:t>
      </w:r>
    </w:p>
    <w:bookmarkEnd w:id="2"/>
    <w:bookmarkStart w:name="z10"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выбора                </w:t>
      </w:r>
      <w:r>
        <w:br/>
      </w:r>
      <w:r>
        <w:rPr>
          <w:rFonts w:ascii="Times New Roman"/>
          <w:b w:val="false"/>
          <w:i w:val="false"/>
          <w:color w:val="000000"/>
          <w:sz w:val="28"/>
        </w:rPr>
        <w:t xml:space="preserve">
внешних управляющих активами        </w:t>
      </w:r>
      <w:r>
        <w:br/>
      </w:r>
      <w:r>
        <w:rPr>
          <w:rFonts w:ascii="Times New Roman"/>
          <w:b w:val="false"/>
          <w:i w:val="false"/>
          <w:color w:val="000000"/>
          <w:sz w:val="28"/>
        </w:rPr>
        <w:t>
Национального фонда Республики Казахстан</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Оценочные критерии для сравнительного анализа</w:t>
      </w:r>
      <w:r>
        <w:br/>
      </w:r>
      <w:r>
        <w:rPr>
          <w:rFonts w:ascii="Times New Roman"/>
          <w:b w:val="false"/>
          <w:i w:val="false"/>
          <w:color w:val="000000"/>
          <w:sz w:val="28"/>
        </w:rPr>
        <w:t>
                </w:t>
      </w:r>
      <w:r>
        <w:rPr>
          <w:rFonts w:ascii="Times New Roman"/>
          <w:b/>
          <w:i w:val="false"/>
          <w:color w:val="000000"/>
          <w:sz w:val="28"/>
        </w:rPr>
        <w:t>предложений внешних управляющих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703"/>
        <w:gridCol w:w="2935"/>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Значимость</w:t>
            </w:r>
            <w:r>
              <w:br/>
            </w:r>
            <w:r>
              <w:rPr>
                <w:rFonts w:ascii="Times New Roman"/>
                <w:b w:val="false"/>
                <w:i w:val="false"/>
                <w:color w:val="000000"/>
                <w:sz w:val="20"/>
              </w:rPr>
              <w:t>
критерия</w:t>
            </w:r>
            <w:r>
              <w:br/>
            </w:r>
            <w:r>
              <w:rPr>
                <w:rFonts w:ascii="Times New Roman"/>
                <w:b w:val="false"/>
                <w:i w:val="false"/>
                <w:color w:val="000000"/>
                <w:sz w:val="20"/>
              </w:rPr>
              <w:t>
(в процентах)</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результаты управления</w:t>
            </w:r>
            <w:r>
              <w:br/>
            </w:r>
            <w:r>
              <w:rPr>
                <w:rFonts w:ascii="Times New Roman"/>
                <w:b w:val="false"/>
                <w:i w:val="false"/>
                <w:color w:val="000000"/>
                <w:sz w:val="20"/>
              </w:rPr>
              <w:t>
портфелем (при проведении</w:t>
            </w:r>
            <w:r>
              <w:br/>
            </w:r>
            <w:r>
              <w:rPr>
                <w:rFonts w:ascii="Times New Roman"/>
                <w:b w:val="false"/>
                <w:i w:val="false"/>
                <w:color w:val="000000"/>
                <w:sz w:val="20"/>
              </w:rPr>
              <w:t>
сравнительного анализа предложений</w:t>
            </w:r>
            <w:r>
              <w:br/>
            </w:r>
            <w:r>
              <w:rPr>
                <w:rFonts w:ascii="Times New Roman"/>
                <w:b w:val="false"/>
                <w:i w:val="false"/>
                <w:color w:val="000000"/>
                <w:sz w:val="20"/>
              </w:rPr>
              <w:t>
потенциальных внешних управляющих,</w:t>
            </w:r>
            <w:r>
              <w:br/>
            </w:r>
            <w:r>
              <w:rPr>
                <w:rFonts w:ascii="Times New Roman"/>
                <w:b w:val="false"/>
                <w:i w:val="false"/>
                <w:color w:val="000000"/>
                <w:sz w:val="20"/>
              </w:rPr>
              <w:t>
специализирующихся на региональных</w:t>
            </w:r>
            <w:r>
              <w:br/>
            </w:r>
            <w:r>
              <w:rPr>
                <w:rFonts w:ascii="Times New Roman"/>
                <w:b w:val="false"/>
                <w:i w:val="false"/>
                <w:color w:val="000000"/>
                <w:sz w:val="20"/>
              </w:rPr>
              <w:t>
мандатах и участвующих в выборе</w:t>
            </w:r>
            <w:r>
              <w:br/>
            </w:r>
            <w:r>
              <w:rPr>
                <w:rFonts w:ascii="Times New Roman"/>
                <w:b w:val="false"/>
                <w:i w:val="false"/>
                <w:color w:val="000000"/>
                <w:sz w:val="20"/>
              </w:rPr>
              <w:t>
управляющего по глобальному мандату,</w:t>
            </w:r>
            <w:r>
              <w:br/>
            </w:r>
            <w:r>
              <w:rPr>
                <w:rFonts w:ascii="Times New Roman"/>
                <w:b w:val="false"/>
                <w:i w:val="false"/>
                <w:color w:val="000000"/>
                <w:sz w:val="20"/>
              </w:rPr>
              <w:t>
показатели нормируются в зависимости</w:t>
            </w:r>
            <w:r>
              <w:br/>
            </w:r>
            <w:r>
              <w:rPr>
                <w:rFonts w:ascii="Times New Roman"/>
                <w:b w:val="false"/>
                <w:i w:val="false"/>
                <w:color w:val="000000"/>
                <w:sz w:val="20"/>
              </w:rPr>
              <w:t>
от охвата соответствующего мандата)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показатель сверхдоходности</w:t>
            </w:r>
            <w:r>
              <w:br/>
            </w:r>
            <w:r>
              <w:rPr>
                <w:rFonts w:ascii="Times New Roman"/>
                <w:b w:val="false"/>
                <w:i w:val="false"/>
                <w:color w:val="000000"/>
                <w:sz w:val="20"/>
              </w:rPr>
              <w:t>
за последние 3-5 лет (в случае если</w:t>
            </w:r>
            <w:r>
              <w:br/>
            </w:r>
            <w:r>
              <w:rPr>
                <w:rFonts w:ascii="Times New Roman"/>
                <w:b w:val="false"/>
                <w:i w:val="false"/>
                <w:color w:val="000000"/>
                <w:sz w:val="20"/>
              </w:rPr>
              <w:t>
показатель сверхдоходности за период</w:t>
            </w:r>
            <w:r>
              <w:br/>
            </w:r>
            <w:r>
              <w:rPr>
                <w:rFonts w:ascii="Times New Roman"/>
                <w:b w:val="false"/>
                <w:i w:val="false"/>
                <w:color w:val="000000"/>
                <w:sz w:val="20"/>
              </w:rPr>
              <w:t>
менее 5 лет положительный,</w:t>
            </w:r>
            <w:r>
              <w:br/>
            </w:r>
            <w:r>
              <w:rPr>
                <w:rFonts w:ascii="Times New Roman"/>
                <w:b w:val="false"/>
                <w:i w:val="false"/>
                <w:color w:val="000000"/>
                <w:sz w:val="20"/>
              </w:rPr>
              <w:t>
показатель нормируется относительно</w:t>
            </w:r>
            <w:r>
              <w:br/>
            </w:r>
            <w:r>
              <w:rPr>
                <w:rFonts w:ascii="Times New Roman"/>
                <w:b w:val="false"/>
                <w:i w:val="false"/>
                <w:color w:val="000000"/>
                <w:sz w:val="20"/>
              </w:rPr>
              <w:t>
периода в 5 лет)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показатель информационного</w:t>
            </w:r>
            <w:r>
              <w:br/>
            </w:r>
            <w:r>
              <w:rPr>
                <w:rFonts w:ascii="Times New Roman"/>
                <w:b w:val="false"/>
                <w:i w:val="false"/>
                <w:color w:val="000000"/>
                <w:sz w:val="20"/>
              </w:rPr>
              <w:t>
коэффициента за последние 3-5 лет (в</w:t>
            </w:r>
            <w:r>
              <w:br/>
            </w:r>
            <w:r>
              <w:rPr>
                <w:rFonts w:ascii="Times New Roman"/>
                <w:b w:val="false"/>
                <w:i w:val="false"/>
                <w:color w:val="000000"/>
                <w:sz w:val="20"/>
              </w:rPr>
              <w:t>
случае если показатель</w:t>
            </w:r>
            <w:r>
              <w:br/>
            </w:r>
            <w:r>
              <w:rPr>
                <w:rFonts w:ascii="Times New Roman"/>
                <w:b w:val="false"/>
                <w:i w:val="false"/>
                <w:color w:val="000000"/>
                <w:sz w:val="20"/>
              </w:rPr>
              <w:t>
информационного коэффициента за</w:t>
            </w:r>
            <w:r>
              <w:br/>
            </w:r>
            <w:r>
              <w:rPr>
                <w:rFonts w:ascii="Times New Roman"/>
                <w:b w:val="false"/>
                <w:i w:val="false"/>
                <w:color w:val="000000"/>
                <w:sz w:val="20"/>
              </w:rPr>
              <w:t>
период менее 5 лет положительный,</w:t>
            </w:r>
            <w:r>
              <w:br/>
            </w:r>
            <w:r>
              <w:rPr>
                <w:rFonts w:ascii="Times New Roman"/>
                <w:b w:val="false"/>
                <w:i w:val="false"/>
                <w:color w:val="000000"/>
                <w:sz w:val="20"/>
              </w:rPr>
              <w:t>
показатель нормируется относительно</w:t>
            </w:r>
            <w:r>
              <w:br/>
            </w:r>
            <w:r>
              <w:rPr>
                <w:rFonts w:ascii="Times New Roman"/>
                <w:b w:val="false"/>
                <w:i w:val="false"/>
                <w:color w:val="000000"/>
                <w:sz w:val="20"/>
              </w:rPr>
              <w:t>
периода в 5 лет)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активов по данному</w:t>
            </w:r>
            <w:r>
              <w:br/>
            </w:r>
            <w:r>
              <w:rPr>
                <w:rFonts w:ascii="Times New Roman"/>
                <w:b w:val="false"/>
                <w:i w:val="false"/>
                <w:color w:val="000000"/>
                <w:sz w:val="20"/>
              </w:rPr>
              <w:t>
типу мандата к общим активам под</w:t>
            </w:r>
            <w:r>
              <w:br/>
            </w:r>
            <w:r>
              <w:rPr>
                <w:rFonts w:ascii="Times New Roman"/>
                <w:b w:val="false"/>
                <w:i w:val="false"/>
                <w:color w:val="000000"/>
                <w:sz w:val="20"/>
              </w:rPr>
              <w:t>
управлением (при проведении</w:t>
            </w:r>
            <w:r>
              <w:br/>
            </w:r>
            <w:r>
              <w:rPr>
                <w:rFonts w:ascii="Times New Roman"/>
                <w:b w:val="false"/>
                <w:i w:val="false"/>
                <w:color w:val="000000"/>
                <w:sz w:val="20"/>
              </w:rPr>
              <w:t>
сравнительного анализа предложений</w:t>
            </w:r>
            <w:r>
              <w:br/>
            </w:r>
            <w:r>
              <w:rPr>
                <w:rFonts w:ascii="Times New Roman"/>
                <w:b w:val="false"/>
                <w:i w:val="false"/>
                <w:color w:val="000000"/>
                <w:sz w:val="20"/>
              </w:rPr>
              <w:t>
потенциальных внешних управляющих,</w:t>
            </w:r>
            <w:r>
              <w:br/>
            </w:r>
            <w:r>
              <w:rPr>
                <w:rFonts w:ascii="Times New Roman"/>
                <w:b w:val="false"/>
                <w:i w:val="false"/>
                <w:color w:val="000000"/>
                <w:sz w:val="20"/>
              </w:rPr>
              <w:t>
специализирующихся на региональных</w:t>
            </w:r>
            <w:r>
              <w:br/>
            </w:r>
            <w:r>
              <w:rPr>
                <w:rFonts w:ascii="Times New Roman"/>
                <w:b w:val="false"/>
                <w:i w:val="false"/>
                <w:color w:val="000000"/>
                <w:sz w:val="20"/>
              </w:rPr>
              <w:t>
мандатах и участвующих в выборе</w:t>
            </w:r>
            <w:r>
              <w:br/>
            </w:r>
            <w:r>
              <w:rPr>
                <w:rFonts w:ascii="Times New Roman"/>
                <w:b w:val="false"/>
                <w:i w:val="false"/>
                <w:color w:val="000000"/>
                <w:sz w:val="20"/>
              </w:rPr>
              <w:t>
управляющего по глобальному мандату,</w:t>
            </w:r>
            <w:r>
              <w:br/>
            </w:r>
            <w:r>
              <w:rPr>
                <w:rFonts w:ascii="Times New Roman"/>
                <w:b w:val="false"/>
                <w:i w:val="false"/>
                <w:color w:val="000000"/>
                <w:sz w:val="20"/>
              </w:rPr>
              <w:t>
используется объем активов по</w:t>
            </w:r>
            <w:r>
              <w:br/>
            </w:r>
            <w:r>
              <w:rPr>
                <w:rFonts w:ascii="Times New Roman"/>
                <w:b w:val="false"/>
                <w:i w:val="false"/>
                <w:color w:val="000000"/>
                <w:sz w:val="20"/>
              </w:rPr>
              <w:t>
региональным мандатам. Данное</w:t>
            </w:r>
            <w:r>
              <w:br/>
            </w:r>
            <w:r>
              <w:rPr>
                <w:rFonts w:ascii="Times New Roman"/>
                <w:b w:val="false"/>
                <w:i w:val="false"/>
                <w:color w:val="000000"/>
                <w:sz w:val="20"/>
              </w:rPr>
              <w:t>
значение нормируется в зависимости</w:t>
            </w:r>
            <w:r>
              <w:br/>
            </w:r>
            <w:r>
              <w:rPr>
                <w:rFonts w:ascii="Times New Roman"/>
                <w:b w:val="false"/>
                <w:i w:val="false"/>
                <w:color w:val="000000"/>
                <w:sz w:val="20"/>
              </w:rPr>
              <w:t>
от охвата соответствующего мандата)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активов</w:t>
            </w:r>
            <w:r>
              <w:br/>
            </w:r>
            <w:r>
              <w:rPr>
                <w:rFonts w:ascii="Times New Roman"/>
                <w:b w:val="false"/>
                <w:i w:val="false"/>
                <w:color w:val="000000"/>
                <w:sz w:val="20"/>
              </w:rPr>
              <w:t>
институциональных инвесторов к общим</w:t>
            </w:r>
            <w:r>
              <w:br/>
            </w:r>
            <w:r>
              <w:rPr>
                <w:rFonts w:ascii="Times New Roman"/>
                <w:b w:val="false"/>
                <w:i w:val="false"/>
                <w:color w:val="000000"/>
                <w:sz w:val="20"/>
              </w:rPr>
              <w:t>
активам под управлением</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опыт работы портфельных</w:t>
            </w:r>
            <w:r>
              <w:br/>
            </w:r>
            <w:r>
              <w:rPr>
                <w:rFonts w:ascii="Times New Roman"/>
                <w:b w:val="false"/>
                <w:i w:val="false"/>
                <w:color w:val="000000"/>
                <w:sz w:val="20"/>
              </w:rPr>
              <w:t>
менеджеров и аналитиков,</w:t>
            </w:r>
            <w:r>
              <w:br/>
            </w:r>
            <w:r>
              <w:rPr>
                <w:rFonts w:ascii="Times New Roman"/>
                <w:b w:val="false"/>
                <w:i w:val="false"/>
                <w:color w:val="000000"/>
                <w:sz w:val="20"/>
              </w:rPr>
              <w:t>
ответственных за управление активами</w:t>
            </w:r>
            <w:r>
              <w:br/>
            </w:r>
            <w:r>
              <w:rPr>
                <w:rFonts w:ascii="Times New Roman"/>
                <w:b w:val="false"/>
                <w:i w:val="false"/>
                <w:color w:val="000000"/>
                <w:sz w:val="20"/>
              </w:rPr>
              <w:t>
по соответствующему мандату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текучесть кадров среди</w:t>
            </w:r>
            <w:r>
              <w:br/>
            </w:r>
            <w:r>
              <w:rPr>
                <w:rFonts w:ascii="Times New Roman"/>
                <w:b w:val="false"/>
                <w:i w:val="false"/>
                <w:color w:val="000000"/>
                <w:sz w:val="20"/>
              </w:rPr>
              <w:t>
портфельных менеджеров и аналитиков</w:t>
            </w:r>
            <w:r>
              <w:br/>
            </w:r>
            <w:r>
              <w:rPr>
                <w:rFonts w:ascii="Times New Roman"/>
                <w:b w:val="false"/>
                <w:i w:val="false"/>
                <w:color w:val="000000"/>
                <w:sz w:val="20"/>
              </w:rPr>
              <w:t>
в целом по компании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статус</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есть гарантия головной</w:t>
            </w:r>
            <w:r>
              <w:br/>
            </w:r>
            <w:r>
              <w:rPr>
                <w:rFonts w:ascii="Times New Roman"/>
                <w:b w:val="false"/>
                <w:i w:val="false"/>
                <w:color w:val="000000"/>
                <w:sz w:val="20"/>
              </w:rPr>
              <w:t>
организации, либо соглашение</w:t>
            </w:r>
            <w:r>
              <w:br/>
            </w:r>
            <w:r>
              <w:rPr>
                <w:rFonts w:ascii="Times New Roman"/>
                <w:b w:val="false"/>
                <w:i w:val="false"/>
                <w:color w:val="000000"/>
                <w:sz w:val="20"/>
              </w:rPr>
              <w:t>
подписывается с головной</w:t>
            </w:r>
            <w:r>
              <w:br/>
            </w:r>
            <w:r>
              <w:rPr>
                <w:rFonts w:ascii="Times New Roman"/>
                <w:b w:val="false"/>
                <w:i w:val="false"/>
                <w:color w:val="000000"/>
                <w:sz w:val="20"/>
              </w:rPr>
              <w:t>
организацией, то кредитный рейтинг</w:t>
            </w:r>
            <w:r>
              <w:br/>
            </w:r>
            <w:r>
              <w:rPr>
                <w:rFonts w:ascii="Times New Roman"/>
                <w:b w:val="false"/>
                <w:i w:val="false"/>
                <w:color w:val="000000"/>
                <w:sz w:val="20"/>
              </w:rPr>
              <w:t>
головной организации (S&amp;P или</w:t>
            </w:r>
            <w:r>
              <w:br/>
            </w:r>
            <w:r>
              <w:rPr>
                <w:rFonts w:ascii="Times New Roman"/>
                <w:b w:val="false"/>
                <w:i w:val="false"/>
                <w:color w:val="000000"/>
                <w:sz w:val="20"/>
              </w:rPr>
              <w:t>
Moody's), в противном случае</w:t>
            </w:r>
            <w:r>
              <w:br/>
            </w:r>
            <w:r>
              <w:rPr>
                <w:rFonts w:ascii="Times New Roman"/>
                <w:b w:val="false"/>
                <w:i w:val="false"/>
                <w:color w:val="000000"/>
                <w:sz w:val="20"/>
              </w:rPr>
              <w:t>
кредитный рейтинг компании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комиссии за управление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базовой комиссии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принципа net new high basis</w:t>
            </w:r>
            <w:r>
              <w:br/>
            </w:r>
            <w:r>
              <w:rPr>
                <w:rFonts w:ascii="Times New Roman"/>
                <w:b w:val="false"/>
                <w:i w:val="false"/>
                <w:color w:val="000000"/>
                <w:sz w:val="20"/>
              </w:rPr>
              <w:t>
since inception</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Национального</w:t>
            </w:r>
            <w:r>
              <w:br/>
            </w:r>
            <w:r>
              <w:rPr>
                <w:rFonts w:ascii="Times New Roman"/>
                <w:b w:val="false"/>
                <w:i w:val="false"/>
                <w:color w:val="000000"/>
                <w:sz w:val="20"/>
              </w:rPr>
              <w:t>
Банка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 отчетность</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w:t>
            </w:r>
            <w:r>
              <w:br/>
            </w:r>
            <w:r>
              <w:rPr>
                <w:rFonts w:ascii="Times New Roman"/>
                <w:b w:val="false"/>
                <w:i w:val="false"/>
                <w:color w:val="000000"/>
                <w:sz w:val="20"/>
              </w:rPr>
              <w:t>
программного обеспечения по контролю</w:t>
            </w:r>
            <w:r>
              <w:br/>
            </w:r>
            <w:r>
              <w:rPr>
                <w:rFonts w:ascii="Times New Roman"/>
                <w:b w:val="false"/>
                <w:i w:val="false"/>
                <w:color w:val="000000"/>
                <w:sz w:val="20"/>
              </w:rPr>
              <w:t>
и управлению рисками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ответственности перед</w:t>
            </w:r>
            <w:r>
              <w:br/>
            </w:r>
            <w:r>
              <w:rPr>
                <w:rFonts w:ascii="Times New Roman"/>
                <w:b w:val="false"/>
                <w:i w:val="false"/>
                <w:color w:val="000000"/>
                <w:sz w:val="20"/>
              </w:rPr>
              <w:t>
Национальным Банком в случае</w:t>
            </w:r>
            <w:r>
              <w:br/>
            </w:r>
            <w:r>
              <w:rPr>
                <w:rFonts w:ascii="Times New Roman"/>
                <w:b w:val="false"/>
                <w:i w:val="false"/>
                <w:color w:val="000000"/>
                <w:sz w:val="20"/>
              </w:rPr>
              <w:t>
нарушения условий соглашения по</w:t>
            </w:r>
            <w:r>
              <w:br/>
            </w:r>
            <w:r>
              <w:rPr>
                <w:rFonts w:ascii="Times New Roman"/>
                <w:b w:val="false"/>
                <w:i w:val="false"/>
                <w:color w:val="000000"/>
                <w:sz w:val="20"/>
              </w:rPr>
              <w:t>
внешнему управлению</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2" w:id="5"/>
    <w:p>
      <w:pPr>
        <w:spacing w:after="0"/>
        <w:ind w:left="0"/>
        <w:jc w:val="both"/>
      </w:pPr>
      <w:r>
        <w:rPr>
          <w:rFonts w:ascii="Times New Roman"/>
          <w:b w:val="false"/>
          <w:i w:val="false"/>
          <w:color w:val="000000"/>
          <w:sz w:val="28"/>
        </w:rPr>
        <w:t xml:space="preserve">
Приложение 2 к постановлению </w:t>
      </w:r>
      <w:r>
        <w:br/>
      </w:r>
      <w:r>
        <w:rPr>
          <w:rFonts w:ascii="Times New Roman"/>
          <w:b w:val="false"/>
          <w:i w:val="false"/>
          <w:color w:val="000000"/>
          <w:sz w:val="28"/>
        </w:rPr>
        <w:t>
Правления Национального Банка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2012 года № 162 </w:t>
      </w:r>
    </w:p>
    <w:bookmarkEnd w:id="5"/>
    <w:bookmarkStart w:name="z13"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выбора внешних</w:t>
      </w:r>
      <w:r>
        <w:br/>
      </w:r>
      <w:r>
        <w:rPr>
          <w:rFonts w:ascii="Times New Roman"/>
          <w:b w:val="false"/>
          <w:i w:val="false"/>
          <w:color w:val="000000"/>
          <w:sz w:val="28"/>
        </w:rPr>
        <w:t xml:space="preserve">
управляющих активами    </w:t>
      </w:r>
      <w:r>
        <w:br/>
      </w:r>
      <w:r>
        <w:rPr>
          <w:rFonts w:ascii="Times New Roman"/>
          <w:b w:val="false"/>
          <w:i w:val="false"/>
          <w:color w:val="000000"/>
          <w:sz w:val="28"/>
        </w:rPr>
        <w:t xml:space="preserve">
Национального фонда    </w:t>
      </w:r>
      <w:r>
        <w:br/>
      </w:r>
      <w:r>
        <w:rPr>
          <w:rFonts w:ascii="Times New Roman"/>
          <w:b w:val="false"/>
          <w:i w:val="false"/>
          <w:color w:val="000000"/>
          <w:sz w:val="28"/>
        </w:rPr>
        <w:t xml:space="preserve">
Республики Казахстан    </w:t>
      </w:r>
    </w:p>
    <w:bookmarkEnd w:id="6"/>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Порядок оценки предложения внешнего управляющего</w:t>
      </w:r>
      <w:r>
        <w:br/>
      </w:r>
      <w:r>
        <w:rPr>
          <w:rFonts w:ascii="Times New Roman"/>
          <w:b w:val="false"/>
          <w:i w:val="false"/>
          <w:color w:val="000000"/>
          <w:sz w:val="28"/>
        </w:rPr>
        <w:t>
            </w:t>
      </w:r>
      <w:r>
        <w:rPr>
          <w:rFonts w:ascii="Times New Roman"/>
          <w:b/>
          <w:i w:val="false"/>
          <w:color w:val="000000"/>
          <w:sz w:val="28"/>
        </w:rPr>
        <w:t>в соответствии с таблицей оценочных критериев</w:t>
      </w:r>
    </w:p>
    <w:bookmarkEnd w:id="7"/>
    <w:bookmarkStart w:name="z15" w:id="8"/>
    <w:p>
      <w:pPr>
        <w:spacing w:after="0"/>
        <w:ind w:left="0"/>
        <w:jc w:val="both"/>
      </w:pPr>
      <w:r>
        <w:rPr>
          <w:rFonts w:ascii="Times New Roman"/>
          <w:b w:val="false"/>
          <w:i w:val="false"/>
          <w:color w:val="000000"/>
          <w:sz w:val="28"/>
        </w:rPr>
        <w:t>
      1. Оценкой предложения внешнего управляющего служит сумма всех показателей, приведенных в таблице оценочных критериев (далее - Таблица) с соответствующими весами.</w:t>
      </w:r>
      <w:r>
        <w:br/>
      </w:r>
      <w:r>
        <w:rPr>
          <w:rFonts w:ascii="Times New Roman"/>
          <w:b w:val="false"/>
          <w:i w:val="false"/>
          <w:color w:val="000000"/>
          <w:sz w:val="28"/>
        </w:rPr>
        <w:t>
</w:t>
      </w:r>
      <w:r>
        <w:rPr>
          <w:rFonts w:ascii="Times New Roman"/>
          <w:b w:val="false"/>
          <w:i w:val="false"/>
          <w:color w:val="000000"/>
          <w:sz w:val="28"/>
        </w:rPr>
        <w:t>
      2. Перед тем, как тот или иной показатель будет внесен в Таблицу, показатель нормируется относительно лучшего показателя в рассматриваемом критерии с использованием формулы:</w:t>
      </w:r>
      <w:r>
        <w:br/>
      </w:r>
      <w:r>
        <w:rPr>
          <w:rFonts w:ascii="Times New Roman"/>
          <w:b w:val="false"/>
          <w:i w:val="false"/>
          <w:color w:val="000000"/>
          <w:sz w:val="28"/>
        </w:rPr>
        <w:t>
</w:t>
      </w:r>
      <w:r>
        <w:rPr>
          <w:rFonts w:ascii="Times New Roman"/>
          <w:b w:val="false"/>
          <w:i w:val="false"/>
          <w:color w:val="000000"/>
          <w:sz w:val="28"/>
        </w:rPr>
        <w:t>
      Нормированный показатель управляющего = Показатель управляющего/максимальное значение показателя по всем внешним управляющим.</w:t>
      </w:r>
      <w:r>
        <w:br/>
      </w:r>
      <w:r>
        <w:rPr>
          <w:rFonts w:ascii="Times New Roman"/>
          <w:b w:val="false"/>
          <w:i w:val="false"/>
          <w:color w:val="000000"/>
          <w:sz w:val="28"/>
        </w:rPr>
        <w:t>
</w:t>
      </w:r>
      <w:r>
        <w:rPr>
          <w:rFonts w:ascii="Times New Roman"/>
          <w:b w:val="false"/>
          <w:i w:val="false"/>
          <w:color w:val="000000"/>
          <w:sz w:val="28"/>
        </w:rPr>
        <w:t>
      3. Если внешний управляющий управляет активами по объявленному типу мандата в рамках другого мандата, то осуществляется оценка исторических результатов управления данными активами в рамках другого мандата.</w:t>
      </w:r>
      <w:r>
        <w:br/>
      </w:r>
      <w:r>
        <w:rPr>
          <w:rFonts w:ascii="Times New Roman"/>
          <w:b w:val="false"/>
          <w:i w:val="false"/>
          <w:color w:val="000000"/>
          <w:sz w:val="28"/>
        </w:rPr>
        <w:t>
</w:t>
      </w:r>
      <w:r>
        <w:rPr>
          <w:rFonts w:ascii="Times New Roman"/>
          <w:b w:val="false"/>
          <w:i w:val="false"/>
          <w:color w:val="000000"/>
          <w:sz w:val="28"/>
        </w:rPr>
        <w:t>
      4. При оценке кредитного рейтинга головной организации и/или внешнего управляющего используется следующая система показателей: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57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рейтинг</w:t>
            </w:r>
            <w:r>
              <w:br/>
            </w:r>
            <w:r>
              <w:rPr>
                <w:rFonts w:ascii="Times New Roman"/>
                <w:b w:val="false"/>
                <w:i w:val="false"/>
                <w:color w:val="000000"/>
                <w:sz w:val="20"/>
              </w:rPr>
              <w:t>
(S&amp;P)</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Ниже ВВВ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9"/>
    <w:p>
      <w:pPr>
        <w:spacing w:after="0"/>
        <w:ind w:left="0"/>
        <w:jc w:val="both"/>
      </w:pPr>
      <w:r>
        <w:rPr>
          <w:rFonts w:ascii="Times New Roman"/>
          <w:b w:val="false"/>
          <w:i w:val="false"/>
          <w:color w:val="000000"/>
          <w:sz w:val="28"/>
        </w:rPr>
        <w:t>
      5. При оценке обучения специалистов Национального Банка используется следующая система показателей: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7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тренинга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управляющий</w:t>
            </w:r>
            <w:r>
              <w:br/>
            </w:r>
            <w:r>
              <w:rPr>
                <w:rFonts w:ascii="Times New Roman"/>
                <w:b w:val="false"/>
                <w:i w:val="false"/>
                <w:color w:val="000000"/>
                <w:sz w:val="20"/>
              </w:rPr>
              <w:t>
оплачивает перелет,</w:t>
            </w:r>
            <w:r>
              <w:br/>
            </w:r>
            <w:r>
              <w:rPr>
                <w:rFonts w:ascii="Times New Roman"/>
                <w:b w:val="false"/>
                <w:i w:val="false"/>
                <w:color w:val="000000"/>
                <w:sz w:val="20"/>
              </w:rPr>
              <w:t>
проживание, питание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управляющий</w:t>
            </w:r>
            <w:r>
              <w:br/>
            </w:r>
            <w:r>
              <w:rPr>
                <w:rFonts w:ascii="Times New Roman"/>
                <w:b w:val="false"/>
                <w:i w:val="false"/>
                <w:color w:val="000000"/>
                <w:sz w:val="20"/>
              </w:rPr>
              <w:t>
оплачивает проживание,</w:t>
            </w:r>
            <w:r>
              <w:br/>
            </w:r>
            <w:r>
              <w:rPr>
                <w:rFonts w:ascii="Times New Roman"/>
                <w:b w:val="false"/>
                <w:i w:val="false"/>
                <w:color w:val="000000"/>
                <w:sz w:val="20"/>
              </w:rPr>
              <w:t>
питание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управляющий</w:t>
            </w:r>
            <w:r>
              <w:br/>
            </w:r>
            <w:r>
              <w:rPr>
                <w:rFonts w:ascii="Times New Roman"/>
                <w:b w:val="false"/>
                <w:i w:val="false"/>
                <w:color w:val="000000"/>
                <w:sz w:val="20"/>
              </w:rPr>
              <w:t>
оплачивает проживание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