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2ed5" w14:textId="fcd2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13 декабря 2011 года № 328-IV. Зарегистрировано Департаментом юстиции Атырауской области 10 января 2012 года № 4-7-139. Утратило силу решением Макатского районного маслихата Атырауской области от 13 марта 2013 года № 105-V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Макатского районного маслихата Атырауской области от 13.03.2013 № 105-V.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рассматривая предложение районного акимата о бюджете района на 2012-2014 годы,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2 462 521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1 143 953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1 275 031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2 462 521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решением Макатского районного маслихата от 23.05.2012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 xml:space="preserve">38-V; </w:t>
      </w:r>
      <w:r>
        <w:rPr>
          <w:rFonts w:ascii="Times New Roman"/>
          <w:b w:val="false"/>
          <w:i w:val="false"/>
          <w:color w:val="ff0000"/>
          <w:sz w:val="28"/>
        </w:rPr>
        <w:t xml:space="preserve">15.10.2012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 xml:space="preserve">63-V; </w:t>
      </w:r>
      <w:r>
        <w:rPr>
          <w:rFonts w:ascii="Times New Roman"/>
          <w:b w:val="false"/>
          <w:i w:val="false"/>
          <w:color w:val="ff0000"/>
          <w:sz w:val="28"/>
        </w:rPr>
        <w:t xml:space="preserve">07.12.2012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 xml:space="preserve">71-V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2012 год формируется за счет налоговых поступлений в соответствии с Бюджетным кодексом и решением очередной ХХХVІ сессии областного маслихата от 7 декабря 2011 года № </w:t>
      </w:r>
      <w:r>
        <w:rPr>
          <w:rFonts w:ascii="Times New Roman"/>
          <w:b w:val="false"/>
          <w:i w:val="false"/>
          <w:color w:val="000000"/>
          <w:sz w:val="28"/>
        </w:rPr>
        <w:t>472-IV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2012-2014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размер субвенции данные бюджету Макатского района на 2012 год по решению областного маслихата составляет 541 585 тыс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к бюджету района на 2012 год предусмотрены целевые трансферты из областного бюджета, в сумме 358 692 тыс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4 097 тысяч тенге – из республиканского бюджета на оснащение учебным обарудованием кабинетов физики, химии, биологии в государственных учреждениях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2 000 тысяч тенге – из республиканского бюджета на повышение оплаты труда учителям, прошедших повышение квалификации по учебным программам АОО "Назарбаев интеллектуальные школы"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16 350 тысяч тенге– из республиканского бюджета на ежемесячную выплату денежных средств опекунам (попечителям), на содержание ребенка-сироты (детей сирот),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2 500 тысяч тенге – из республиканского бюджета на обеспечение оборудованием, программным обеспечением для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8 309 тысяч тенге– из республиканского бюджета на обеспечение деятельности центров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3 851 тысяч тенге – на обеспечение трудоустройства населения, 5 575 -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67 141 тысяч тенге на реализацию государственного образовательного заказа в дошкольных организациях образования по программе "Балапан";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социальной поддержки молодых специалистов, направленных в район, для приобретения жилья выделить кредит в сумме 14 562 тысяч тенге, на оформление документов финансовому агенту 1 292 тысяч тенге и на выделение подъемного пособия на сумму 1 250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1 445 тысяч тенге для проведения противоэпизоотических мероприятий в районном масштабе.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114 100 тысяч тенге – из областного бюджета на реализацию капитальных ремонт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110 782 тысяч тенге – из областного бюджета на реализацию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20 000 – из республиканского бюджета на увеличение размера доплаты за квалификационную категорию, учителям школ и воспитателям дошкольных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в составе районного бюджета размер финансирования бюджетных программ аппаратов акимов поселковых округов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Утвердить, с учетом установленного решением областного маслихата перечень районных бюджетных программ, не подлежащих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обеспечение законности (Д. Алтаевой).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ХХХVІІІ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маслихата:                А. Кондыбаева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Т. Жолмагамбетов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декабря 2012 года № 71-V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328-IV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Макатского районного маслихата от 07.12.2012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 xml:space="preserve">71-V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733"/>
        <w:gridCol w:w="535"/>
        <w:gridCol w:w="9293"/>
        <w:gridCol w:w="19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2462521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1152584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323485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323485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118172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118172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659462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620460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32816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1275031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1275031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1275031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29"/>
        <w:gridCol w:w="778"/>
        <w:gridCol w:w="778"/>
        <w:gridCol w:w="8933"/>
        <w:gridCol w:w="20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2462521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140021</w:t>
            </w:r>
          </w:p>
        </w:tc>
      </w:tr>
      <w:tr>
        <w:trPr>
          <w:trHeight w:val="8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110053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44237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51794</w:t>
            </w:r>
          </w:p>
        </w:tc>
      </w:tr>
      <w:tr>
        <w:trPr>
          <w:trHeight w:val="9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49094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</w:t>
            </w:r>
          </w:p>
        </w:tc>
      </w:tr>
      <w:tr>
        <w:trPr>
          <w:trHeight w:val="12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</w:t>
            </w:r>
          </w:p>
        </w:tc>
      </w:tr>
      <w:tr>
        <w:trPr>
          <w:trHeight w:val="11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1575396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285777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282402</w:t>
            </w:r>
          </w:p>
        </w:tc>
      </w:tr>
      <w:tr>
        <w:trPr>
          <w:trHeight w:val="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215828</w:t>
            </w:r>
          </w:p>
        </w:tc>
      </w:tr>
      <w:tr>
        <w:trPr>
          <w:trHeight w:val="8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63766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1114819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1044201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53802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8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96113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10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363915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229115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62146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328-IV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798"/>
        <w:gridCol w:w="822"/>
        <w:gridCol w:w="9173"/>
        <w:gridCol w:w="207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1696649</w:t>
            </w:r>
          </w:p>
        </w:tc>
      </w:tr>
      <w:tr>
        <w:trPr>
          <w:trHeight w:val="1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1218183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347778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347778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674728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635590</w:t>
            </w:r>
          </w:p>
        </w:tc>
      </w:tr>
      <w:tr>
        <w:trPr>
          <w:trHeight w:val="1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32015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49555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2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37726</w:t>
            </w:r>
          </w:p>
        </w:tc>
      </w:tr>
      <w:tr>
        <w:trPr>
          <w:trHeight w:val="2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1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4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449405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449405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449405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813"/>
        <w:gridCol w:w="781"/>
        <w:gridCol w:w="762"/>
        <w:gridCol w:w="8405"/>
        <w:gridCol w:w="212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1696649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108063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40674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40674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1323795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1086929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1085009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1035787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49222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кваликационную категорию, учителям школ и воспитателям дошкольных организаций образования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74674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64485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8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1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1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1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1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Утвердить 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328-IV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779"/>
        <w:gridCol w:w="725"/>
        <w:gridCol w:w="9154"/>
        <w:gridCol w:w="221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1696649</w:t>
            </w:r>
          </w:p>
        </w:tc>
      </w:tr>
      <w:tr>
        <w:trPr>
          <w:trHeight w:val="1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1218183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347778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347778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674728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635590</w:t>
            </w:r>
          </w:p>
        </w:tc>
      </w:tr>
      <w:tr>
        <w:trPr>
          <w:trHeight w:val="1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32015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49555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2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37726</w:t>
            </w:r>
          </w:p>
        </w:tc>
      </w:tr>
      <w:tr>
        <w:trPr>
          <w:trHeight w:val="2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1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4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449405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449405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449405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813"/>
        <w:gridCol w:w="781"/>
        <w:gridCol w:w="762"/>
        <w:gridCol w:w="8405"/>
        <w:gridCol w:w="212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1696649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108063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40674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40674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1323795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1086929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1085009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1035787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49222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74674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64485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</w:p>
        </w:tc>
      </w:tr>
      <w:tr>
        <w:trPr>
          <w:trHeight w:val="1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1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1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1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71-V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Макатского районного маслихата от 07.12.2012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 xml:space="preserve">71-V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2012 год в разрезе сельских округов в следующих размерах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6032"/>
        <w:gridCol w:w="1426"/>
        <w:gridCol w:w="1654"/>
        <w:gridCol w:w="1856"/>
        <w:gridCol w:w="2015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Байчунас, Ескене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2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49094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215828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образования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63766</w:t>
            </w:r>
          </w:p>
        </w:tc>
      </w:tr>
      <w:tr>
        <w:trPr>
          <w:trHeight w:val="10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12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7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 Содержание мест захоронений и погребение безродных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(сельских) округах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418357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2012 года № 63-V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328-IV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Макатского районного маслихата от 15.10.2012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 xml:space="preserve">63-V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15"/>
        <w:gridCol w:w="820"/>
        <w:gridCol w:w="821"/>
        <w:gridCol w:w="8260"/>
        <w:gridCol w:w="229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229115</w:t>
            </w:r>
          </w:p>
        </w:tc>
      </w:tr>
      <w:tr>
        <w:trPr>
          <w:trHeight w:val="1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229115</w:t>
            </w:r>
          </w:p>
        </w:tc>
      </w:tr>
      <w:tr>
        <w:trPr>
          <w:trHeight w:val="1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229115</w:t>
            </w:r>
          </w:p>
        </w:tc>
      </w:tr>
      <w:tr>
        <w:trPr>
          <w:trHeight w:val="1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