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a96d" w14:textId="51da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родителям или иным законным представителям 
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22 декабря 2011 года № 276. Зарегистрировано Управлением юстиции Макатского района Атырауской области 27 декабря 2011 года № 4-7-137. Утратило силу - Постановлением ГУ "Аппарата акима Макатского района" Атырауской области от 4 февраля 2013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Утратило силу - Постановлением ГУ "Аппарата акима Макатского района" Атырауской области от 04.02.2013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постановлением акимата Атырауской области от 21 ноября 2011 года № 329 "О возмещении затрат родителям или иным законным представителям детей-инвалидов, обучающихся и воспитывающихся на дому"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материальную помощь в размере 2,4 месячного расчетного показателя ежемесячно, родителям или иным законным представителям детей-инвалидов для возмещения затрат на обучение и воспитание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Макатского района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Исмагулова Ж.Ж.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регистрации, вводится в действие со дня его первого офицального опубликования и распространяется на отношения, возникшие с 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