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e362" w14:textId="243e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
налогоплательщиков, осуществляющих деятельность на территории Сарканского района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Сарканского района Алматинской области от 29 декабря 2011 года N 54-317. Зарегистрировано Управлением юстиции Сарканского района Департамента юстиции Алматинской области 13 января 2012 года N 2-17-109. Утратило силу решением маслихата Сарканского района Алматинской области от 10 января 2013 года N 13-74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Сарканского района Алматинской области от 10.01.2013 </w:t>
      </w:r>
      <w:r>
        <w:rPr>
          <w:rFonts w:ascii="Times New Roman"/>
          <w:b w:val="false"/>
          <w:i w:val="false"/>
          <w:color w:val="ff0000"/>
          <w:sz w:val="28"/>
        </w:rPr>
        <w:t>N 13-74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бюджет"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для всех налогоплательщиков, осуществляющих деятельность на территории Сарканского района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54 сессии районного маслихата              Тажиева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Рахметкалиев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Сарканскому району                      Ахметжанов Мырзахара Жунисович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декабря 2011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"Об установлении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единых ставок фиксированного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 для всех налогоплательщиков,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коэффициентов базовых 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деятельность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Сарканского района на 2012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2011 года № 54-317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Единые ставки фиксированного налога для всех</w:t>
      </w:r>
      <w:r>
        <w:br/>
      </w:r>
      <w:r>
        <w:rPr>
          <w:rFonts w:ascii="Times New Roman"/>
          <w:b/>
          <w:i w:val="false"/>
          <w:color w:val="000000"/>
        </w:rPr>
        <w:t>
налогоплательщиков, осуществляющих деятельность на территории</w:t>
      </w:r>
      <w:r>
        <w:br/>
      </w:r>
      <w:r>
        <w:rPr>
          <w:rFonts w:ascii="Times New Roman"/>
          <w:b/>
          <w:i w:val="false"/>
          <w:color w:val="000000"/>
        </w:rPr>
        <w:t>
Сарканского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573"/>
        <w:gridCol w:w="4913"/>
      </w:tblGrid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налогооблажения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Единые ставки фиксированного налога (в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показателях)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проведения игры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одним игроком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проведения игры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более одного игрока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игры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