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c337" w14:textId="e04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2011 года № 745. Зарегистрирован в Министерстве юстиции Республики Казахстан 28 ноября 2011 года № 7308. Утратил силу приказом Министра здравоохранения Республики Казахстан от 27 января 2021 года № ҚР ДСМ-10.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85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сентября 2011 года № 131-р "О мерах по реализации Закона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2011 года № 351 "Об утверждении стандарта государственной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 и внесении дополнения 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под № 5926, опубликованный в Собрании актов центральных исполнительных и иных центральных государственных органов Республики Казахстан, 2010 год, № 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Экспертиза лекарственного средства, а также экспертиза вносимых изменений в регистрационное досье типа II, требующих новой регистрации, проводится в срок, не превышающий двести двадцати календарных дней, экспертиза при ускоренной регистрации и перерегистрации проводится в срок, не превышающий сто тридцати календарных дней, экспертиза вносимых изменений в регистрационное досье типа I в срок, не превышающий ста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Экспертиза лекарственного средства при государственной регистрации и внесении изменений типа II, требующих новой регистрации, проводится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экспертиза - не более двадцати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экспертиза - не более пятидесяти календарных дней (при сложной методике анализа, в том числе медицинских иммунобиологических препаратов - не более семидесяти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фармацевтическая экспертиза - не более шестидесяти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фармакологическая экспертиза - не более шестидесяти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о безопасности, эффективности и качестве лекарственного средства, проектов итоговых документов экспертизы лекарственных средств - не более десяти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Экспертиза лекарственного средства при государственной перерегистрации проводится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экспертиза - не более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экспертиза - не более сорока календарных дней (при сложной методике анализа, в том числе медицинских иммунобиологических препаратов - не более пятидесяти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фармацевтическая экспертиза - не более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фармакологическая экспертиза - не более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заключения о безопасности, эффективности и качестве лекарственного средства, проектов итоговых документов экспертизы лекарственных средств - не более десяти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Экспертиза лекарственного средства при внесении изменений в регистрационное досье типа I, не требующих новой регистрации, проводится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IА – 1,5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IБ – 3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экспертиза - не более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экспертиза (при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IБ - не более двадцати пяти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фармацевтическая экспертиза: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IА – не более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IБ - не более двадцати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фармакологическая экспертиза: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IА – не более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IБ- не более двадцати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заключения о безопасности, эффективности и качестве лекарственного средства, проектов итоговых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Ускоренная процедура государственной регистрации, перерегистрации проходит все этапы экспертизы лекарственного средства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экспертиза - не более двадцати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экспертиза до тридцати календарных дней (в сложных случаях до пятидесяти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фармакопейная экспертиза - не более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фармакологическая экспертиза - не более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заключения о безопасности, эффективности и качестве лекарственного средства, проектов итоговых документов экспертизы лекарственных средств - не более десяти календарных дней.";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соответственно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2011 года №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первичной экспертизе документов и материалов на</w:t>
      </w:r>
      <w:r>
        <w:br/>
      </w:r>
      <w:r>
        <w:rPr>
          <w:rFonts w:ascii="Times New Roman"/>
          <w:b/>
          <w:i w:val="false"/>
          <w:color w:val="000000"/>
        </w:rPr>
        <w:t>лекарственное средство, заявленного на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регистрацию, перерегистрацию в Республике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Проведена экспертиза заявочных документов и материалов, представленных на государственную регистрацию, перерегистрацию лекарственных средств в Республике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9265"/>
        <w:gridCol w:w="446"/>
      </w:tblGrid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E-mail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Информация о лекарственном средстве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заявки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непатентованное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Упаковка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0"/>
        <w:gridCol w:w="1035"/>
        <w:gridCol w:w="4055"/>
        <w:gridCol w:w="1035"/>
        <w:gridCol w:w="3195"/>
      </w:tblGrid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(первичная, вторичная)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единиц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</w:tr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Данные о производителе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3163"/>
        <w:gridCol w:w="1404"/>
        <w:gridCol w:w="1405"/>
        <w:gridCol w:w="2285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производства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Порядок отпуска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2"/>
        <w:gridCol w:w="5874"/>
        <w:gridCol w:w="944"/>
      </w:tblGrid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отпуска по рецепту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рецепта (необходимое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В Республике Казахстан под указанным торговым наименованием ранее зарегистрировано другое лекарственное средство с другим составом активных веществ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2"/>
        <w:gridCol w:w="7058"/>
        <w:gridCol w:w="770"/>
      </w:tblGrid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 (необходимое отметить)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Оценка полноты, комплектности регистрационного досье и правильности оформления представленных документов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3945"/>
        <w:gridCol w:w="5115"/>
      </w:tblGrid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сформировано по разделам,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пронумерованы, опись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составлена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 (необходимое отметить)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документов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 перечню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 (необходимое отметить)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цветных макетов упаковок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факт заверения их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(для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препаратов),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 (необходимое отметить)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Экспертиза состава лекарственного средства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4172"/>
        <w:gridCol w:w="5221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запрещенных красителей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вспомогательных веществ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 (при наличии указать)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веществ, полученных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 органов и тканей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животных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 (необходимое отметить)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аналитической части регистрационного досье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7"/>
        <w:gridCol w:w="6267"/>
        <w:gridCol w:w="886"/>
      </w:tblGrid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нормативно-технической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документа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 конечной упаковке,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достаточного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трехкратного анализа: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серии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серии, указанной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срок годности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субстанции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стандартов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примесей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референс-стандартов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с учетом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Экспертиза сведений о фармакологическом действии лекарственного средства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3"/>
        <w:gridCol w:w="4924"/>
        <w:gridCol w:w="1083"/>
      </w:tblGrid>
      <w:tr>
        <w:trPr>
          <w:trHeight w:val="3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заключения                 Подпись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и подпись руководителя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и подпись руководителя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 результатами первичной экспертизы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и подпись заявителя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______________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Примечание: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положительного заключения экспертизы: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и документы регистрационного досье на лекарственное средство, предоставленное для государственной регистрации, перерегистрации в Республике Казахстан, соответствуют установленным требованиям и подлежат дальнейшей экспертизе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 отрицательного заключения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экспертиза регистрационного досье, представленного для государственной регистрации, перерегистрации в Республике Казахстан показала, что регистрационное досье не соответствует установленным требованиям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предоставить отсутствующие документы и материалы в срок, не превышающий тридцать календарных дней. Экспертные работы приостановлены и будут возобновлены с момента предоставления отсутствующих документов, материалов, исправления замечаний и получения положительного заключения экспертизы. В случае непредставления отсутствующих материалов экспертные работы будут прекращены";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составляется в двух экземплярах, один экземпляр передается заявителю.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фармакопейного центра</w:t>
      </w:r>
      <w:r>
        <w:br/>
      </w:r>
      <w:r>
        <w:rPr>
          <w:rFonts w:ascii="Times New Roman"/>
          <w:b/>
          <w:i w:val="false"/>
          <w:color w:val="000000"/>
        </w:rPr>
        <w:t>о качестве и безопасности лекарственного средства, заявленного</w:t>
      </w:r>
      <w:r>
        <w:br/>
      </w:r>
      <w:r>
        <w:rPr>
          <w:rFonts w:ascii="Times New Roman"/>
          <w:b/>
          <w:i w:val="false"/>
          <w:color w:val="000000"/>
        </w:rPr>
        <w:t>на государственную регистрацию, перерегистрацию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Проведена экспертиза нормативных документов, характеризующих качество лекарственного средства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3196"/>
        <w:gridCol w:w="5345"/>
      </w:tblGrid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(МНН)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иммунобиологические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(МИБП)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гомеопатические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парафармацевтики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генерика указать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Упаковка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1101"/>
        <w:gridCol w:w="2707"/>
        <w:gridCol w:w="1101"/>
        <w:gridCol w:w="1101"/>
        <w:gridCol w:w="2018"/>
        <w:gridCol w:w="1102"/>
      </w:tblGrid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Данные о производителе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4043"/>
        <w:gridCol w:w="1404"/>
        <w:gridCol w:w="1405"/>
        <w:gridCol w:w="1405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производства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в стране-производителе и других странах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4"/>
        <w:gridCol w:w="2460"/>
        <w:gridCol w:w="2460"/>
        <w:gridCol w:w="1513"/>
        <w:gridCol w:w="1513"/>
      </w:tblGrid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проведенной экспертизы установлено.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лекарственного средства и заключение о его рациональности и совместимости ингредиентов (указать лекарственные субстанции и вспомогательные вещества, включая консерванты, составные вещества оболочки препаратов и другое):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4316"/>
        <w:gridCol w:w="1758"/>
        <w:gridCol w:w="3114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фармакопея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фармакопеи,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признанные действующими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(ые)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 (и):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оболочки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корпуса капсулы: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Для лекарственного растительного сырья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2"/>
        <w:gridCol w:w="2086"/>
        <w:gridCol w:w="2889"/>
        <w:gridCol w:w="1282"/>
        <w:gridCol w:w="2351"/>
      </w:tblGrid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зарубежные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фармакопеи, признанные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культивируемое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израстания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Производители активных субстанций, входящих в состав лекарственного средства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2213"/>
        <w:gridCol w:w="2829"/>
        <w:gridCol w:w="2214"/>
        <w:gridCol w:w="2215"/>
      </w:tblGrid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на русском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английском языках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В случае наличия в составе лекарственного средства вещества, подлежащего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8777"/>
        <w:gridCol w:w="488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принадлежности к подконтрольным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 (на основании изучения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непатентованного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торгового названия,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названия, структурной формулы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подконтрольным веществам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позиции Таблиц Списка, является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стереоизомером 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Таблицы II, в тех случаях,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существование таких изомеров возможно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данного конкретного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 (если таковые определенно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исключены), солью всех 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перечисленных в Таблице II,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изомеров, как предусмотрено выше,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случаях, когда существование таких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солей возможно; солью психотропных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II и Таблицы III,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существование таких солей возможно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возможности или невозможности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извлечения легкодоступным способом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подконтрольного вещества в количествах,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достаточных для злоупотребления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том, что в отношении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 сняты некоторые меры контроля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Анализ сведений о происхождении, регистрации 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Республике Казахстан, качестве и выводы о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использования субстанции (при отсутствии сертификата GMP)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9. Анализ сведений о качестве, количестве с выводами 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допустимости использования используемых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веществ, красителей, консервантов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10. Заключение о производстве (производственная формула,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описание технологии производства, контроль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производства, валидация производственных процессов)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11. Характеристика готового продукта (соответствие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представленных параметров в сертификате качества на готовую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продукцию или в паспорте организации-производителя описанным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методикам контроля качества в нормативно-технической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документации, соответствие серий представленных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сериям, указанным в сертификате)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12. Заключение о маркировке и упаковке на предмет их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достаточности для обеспечения сохранения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лекарственного средства во время хранения и транспортировки,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(необходимость дополнительных надписей), наличие спецификаций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первичную и вторичную упаковку. Гигиеническое заключение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упаковку (для отечественных производителей)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13. Спецификация готового продукта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14. Заключение о данных химической, фармацевтической 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биологической (ин витро) эквивалентности, представленных фирмой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лекарственное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15. Заключение о стабильности лекарственного средства,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обоснованность заявленного срока хранения, периода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после первого вскрытия упаковки или растворения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16. Анализ и оценка проектов инструкции по медицинскому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применению лекарственного средства, макетов упаковок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этикеток, проверка на идентичность указаний условий 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транспортирования, указанных в проекте нормативно-технического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документа по контролю за качеством и безопасностью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лекарственного средства и вышеуказанных проектах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17. Заключение об условиях хранения и транспортирования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лекарственного средства и необходимость введения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требований с целью обеспечения сохранения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18. Анализ нормативно-технического документа по контролю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качеством и безопасностью лекарственного средства и методик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контроля качества готового продукта и оценка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19. Сравнение с аналогами, зарегистрированными 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Республике Казахстан. Сравнительная характеристика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показателей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20. Рекомендации: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7019"/>
        <w:gridCol w:w="731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рекомендовать лекарственный препарат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регистрации, перерегистрации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обоснованием в отказе)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 повторно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дополнительных материалов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эксперта (с обоснованием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дополнительных материалов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дополнительных испытаний)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рекомендовать лекарственный препарат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регистрации, перерегистрации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срока регистрации, перерегистрации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нормативно-технического 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качеством и безопасностью, макетов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упаковок и этикеток)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документов эксперту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завершения экспертизы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приведенные в экспертном заключении, достоверны и соответствуют современным требованиям, что подтверждаю личной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фармакологического центра</w:t>
      </w:r>
      <w:r>
        <w:br/>
      </w:r>
      <w:r>
        <w:rPr>
          <w:rFonts w:ascii="Times New Roman"/>
          <w:b/>
          <w:i w:val="false"/>
          <w:color w:val="000000"/>
        </w:rPr>
        <w:t>о безопасности и эффективности, заявленного на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регистрацию, перерегистрацию в Республике Казахстан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Проведена экспертиза нормативных документов, характеризующих безопасность и эффективность лекарственного препарата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2"/>
        <w:gridCol w:w="3600"/>
        <w:gridCol w:w="5108"/>
      </w:tblGrid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эксперта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(МНН)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является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(МИБП)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гомеопатические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парафармацевтики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генерика (автогенерика,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биосимиляра) указать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анатомо-терапевтическо-химической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классификацией (АТХ)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Фармакологическое действие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отпуска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рецепту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рецепта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Упаковка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0"/>
        <w:gridCol w:w="1077"/>
        <w:gridCol w:w="2647"/>
        <w:gridCol w:w="1077"/>
        <w:gridCol w:w="1077"/>
        <w:gridCol w:w="3322"/>
      </w:tblGrid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единиц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Данные о производителе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4043"/>
        <w:gridCol w:w="1404"/>
        <w:gridCol w:w="1405"/>
        <w:gridCol w:w="1405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производства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Детальное описание системы фармаконадзора и управления рисками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7"/>
        <w:gridCol w:w="6267"/>
        <w:gridCol w:w="886"/>
      </w:tblGrid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фармаконадзора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фармаконадзор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глобальный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фармаконадзор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локальный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 в РК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при 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лекарственного средства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в стране-производителе и других странах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2284"/>
        <w:gridCol w:w="2284"/>
        <w:gridCol w:w="1404"/>
        <w:gridCol w:w="2285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результате проведенной экспертизы установлено: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9907"/>
        <w:gridCol w:w="257"/>
      </w:tblGrid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в составе лекарственного средства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контролю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наркотических средствах, психотропных веществах,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прекурсорах и мерах противодействия их незаконному обороту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злоупотреблению ими":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принадлежности к подконтрольным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 (на основании изучения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непатентованного наименования, торгового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названия, химического названия, структурной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формулы о принадлежности к подконтрольным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 с указанием позиции Таблиц Списка,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вещество стереоизомером 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Таблицы II, в тех случаях,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существование таких изомеров возможно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конкретного химического обозначения (если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таковые определенно не исключены), солью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перечисленных в Таблице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включая соли изомеров, как 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выше, во всех случаях, когда существование таких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солей возможно; солью психотропных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II и Таблицы III, когда существование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солей возможно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научно-обоснованное определение степени риска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злоупотребления: высокий риск злоупотребления,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риск злоупотребления отсутствует,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незначительным; определение максимально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допустимого содержания наркотических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средствах;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том, что в отношении препарата могут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сняты некоторые меры контроля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достоверности качественного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количественного состава активных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веществ, указанных в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медицинскому применению, сравнивая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заявленным составом в заявлении, аналитическом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нормативном документе и макете упаковки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фармакологической совместимости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компонентов, в случае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воспроизведенного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сравнение с составом оригинального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документации по доклиническим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исследованиям: токсичности (острая, хроническая,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LD50, LD100), канцерогенности, эмбриотоксичности,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тератогенности, мутагенности,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местно-раздражающего действия, влияния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иммунную систему, специфической фармакологической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(биологической) активности.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документации клинических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(фазы клинических исследований, постмаркетинговые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протоколы и отчеты,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Этической комиссии). При этом необходимо 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дату, спонсора проведения исследования,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цель, дизайн, длительность исследования,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 возраст испытуемых, 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дозирования препарата, мониторинг 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 процессе проведения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соответствие отчета протоколу,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соотношении "польза-риск"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по биоэквивалентности (протоколы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заключения Этической комиссии).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указать место, дату, спонсора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исследования, цель, длительность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тест-препарат, референс-препарат,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лекарственную форму, режим дозирования,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 препарата, количество испытуемых,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возраст, мониторинг побочных действий,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отчета протоколу, биоаналитические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исследования, внутренний стандарт,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хроматограммы, фармакокинетические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кривые, статические данные по фармакокинетическим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 (в виде таблиц), заключение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биоэквивалетности. Соответствие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 требованиям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 исследований в отношении заявленных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 групп больных, обоснованности 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к применению, противопоказаний,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предостережений при применении препарата,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действий.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источника происхождения (кровь, органы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человека и животных) и специфической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для иммунобиологических препаратов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питательной среды, использованной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размножения вирусов и бактерий,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эффективности для вакцин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инструкции по 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в сравнении с краткой характеристикой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препарата. Делается заключение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или несоответствии показаний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применению, побочных действий, противопоказаний,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особых указаний, лекарственных взаимодействий,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передозировки, указанных в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 лекарственного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краткой характеристике лекарственного препарата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правильности присвоения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Анатомо-терапевтическо-химической (АТХ)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классификации, соответствия фармакотерапевти-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группы коду АТХ классификации,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фармакологическому действию, показаниям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применению. В случае не правильно заявленных АТХ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 и фармакотерапевтической группы,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рекомендуемые экспертом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адекватности заявленных доз и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дозирования согласно фармакокинетическим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 (периода полувыведения,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связывания с белками плазмы крови, влияние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печеночных ферментов, время 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бактериостатической/бактерицидной концентрации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антибактериальных препаратов).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обратить особое внимание на дозы, рекомендуемые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детям, пожилым, больным с нарушениями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и печени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соответствия заявленного срока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указанного в заявлении, в краткой характеристике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применению, макетах упаковки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хранения, указанным в нормативном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представленной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 действующему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Адекватность и аутентичность перевода текста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медицинскому применению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русский языки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только при подаче на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перерегистрацию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препарата. Оценка безопасности и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 основе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обновляемых отчетов о безопасности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профиля безопасности, внесении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действий, противопоказаний в краткую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характеристику лекарственного препарата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 медицинскому применению или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перерегистрации препарата,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регистрационном статусе препарата в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странах, обновленные данные о мерах,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регуляторным органом или производителем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соображениям безопасности, изменения в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безопасности препарата, объем продаж,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пациентов, получивших препарат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изучение описания 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и перечня побочных действий и сводных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таблиц, индивидуальных случаев проявления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действий выявленных владельцем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действия, характер и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серьезных побочных действий и ранее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компанией. Общая 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основе данных периодически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обновляемых отчетов о безопасности и заключение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сохранении или изменении профиля 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новых побочных действий,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в инструкцию 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или отказе в перерегистрации препарата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с учетом соотношения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"польза-риск" - противопоказания, предупреждения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предостережения при применении препарата.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обратить особое внимание на детский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беременных и кормящих женщин, пожилой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пациентов с почечной и печеночной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Рекомендации: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7322"/>
        <w:gridCol w:w="731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рекомендовать лекарственный препарат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регистрации, перерегистрации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срока регистрации, перерегистрации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инструкции 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применению, макета упаковки)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одобренных показаний к применению,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противопоказаний, особых указаний и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взаимодействий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 повторно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дополнительных материалов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эксперта (с обоснованием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дополнительных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безопасность и эффективность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или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доклинических или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рекомендовать лекарственный препарат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регистрации, перерегистрации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обоснованием в отказе)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документов эксперту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завершения экспертизы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приведенные в экспертном заключении, достоверны и соответствуют современным требованиям, что подтверждаю личной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