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2902" w14:textId="1c62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02 июня 2010 года N 14/06. Зарегистрировано Управлением юстиции Бухар-Жырауского района Карагандинской области 18 июня 2010 года N 8-11-97. Утратило силу - постановлением акимата Бухар-Жырауского района Карагандинской области от 23 июня 2011 года N 16/06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23.06.2011 N 16/06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поддержки безработным гражданам, относящимся к целевым группам,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 для трудоустройства безработных из целевых групп,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Организациям, предприятиям, учреждениям района создать социальные рабочие места для временного трудоустройства безработных граждан из целевых групп, зарегистрированных уполномоченным органом,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"Бухар-Жырауский районный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приему и направлению на работу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работодателями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компенсацию затрат работодателя на оплату труда безработных из целевых групп в размере двадцати тысяч тенге на одного работника за счет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Работодателям, у которых организованы социальные рабочие места, обеспечить оплату труда безработных в размере тридцати пяти тысяч тенге за счет средств работодателя с учетом компенсации затрат из средств целевых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"Об организации социальных рабочих мест для трудоустройства безработных из целевых групп" от 23 июня 2009 года N 16/02 (регистрационный номер N 8-11-78, опубликовано 25 июля 2009 года в районной газете "Сары-Арка").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Бухар-Жырауского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официального опубликования, за исключением подпункта 5 пункта 3, который вводится в действие с 1 июня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14/06 от 02 июня 2010 года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отбора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Уполномоченный орган Государственное учреждение "Бухар-Жырауский районный отдел занятости и социальных программ"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для участия в отборе предоставляет учредительные документы либо свидетельство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Договор заключается на срок не более 6 месяцев. Работа носит временный характер,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настоящих правил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