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c5e9" w14:textId="261c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декабря 2010 года № 34/2. Зарегистрировано Управлением юстиции Аршалынского района Акмолинской области 10 января 2011 года № 1-4-180.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29.06.2012 № 6/4.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1 974 907,6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15 827,4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60 462,6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1 467 527,6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2 246 552,6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- 307 120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307 120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продажа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Аршалынского районного маслихата Акмолинской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предусмотрены объемы субвенции, передаваемой из областного бюджета в общей сумме 945 151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из республиканского бюджета предусмотрены целевые трансферты в сумме 76 827,9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предусмотрены целевые трансферты из республиканского бюджета на образование в сумме 86 843,3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48 124,9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24078 тысяч тенге –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10443 тысячи тенге — на ежемесячные выплаты денежных средств опекунам (попечителям) на содержание ребенка-сироты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на строительство и реконструкцию объектов образования в сумме 38 718,4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38 718,4 тысячи тенге - строительство школы на 600 ученических мест с государственным языком обучения по улице Степной в ауле Жибек Жолы аульного округа Жибек Жолы Аршалынского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предусмотрены целевые трансферты в сумме 80 940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12 355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4300 тысяч тенге -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тысяч тенге —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68 585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68 585 тысяч тенге - на реконструкцию водопроводных сетей поселка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2011 год предусмотрены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24 035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погашение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1 602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 возврат в республиканский бюджет бюджетных кредитов выданных в 2010 году для реализации мер социальной поддержки специалистам в сумме 1 780,4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на 2011 год предусмотрены целевые трансферты из областного бюджета в сумме 338 245,3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216 669,3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359,1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1060 тысяч тенге —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91 268,7 тысяч тенге - на капитальный ремонт водопроводных сетей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49 106,8 тысяч тенге - на капитальный ремонт детского сада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26 022,7 тысяч тенге - на капитальный ремонт школы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22 033 тысячи тенге - на капитальный ремонт Вячеславской средней школы в ауле Арнасай;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разработку и корректировку генеральных планов и проектов детальной планировки аула Жалтырколь,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1 950 тысяч тенге - на ремонт автомобильных дорог и разработку проектно-сметной документации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- на ремонт автомобильных дорог и разработку проектно-сметной документации села Жалтырколь;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 тысяч тенге - на ремонт автомобильных дорог и разработку проектно-сметной документации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разработку проектно-сметной документации и проведение государственной экспертизы по проекту «Капитальный ремонт детского сада в селе Ижевское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16 454 тысячи тенге - на содержание школы на 600 мест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по администраторам бюджетных программ определяется постановлением акимата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182 461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 тенге – на реконструкцию бывшего здания школы под детский сад на 90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– на разработку проектно-сметной документации, проведение государственной экспертизы по проекту строительства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84 376 тысяч тенге - на реконструкцию водопроводных сетей в селах Раздольное и Байдалы;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68 585 тысяч тенге - на реконструкцию водопроводных сетей поселка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Аршалынского районного маслихата Акмолинской области от 15.03.2011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23.06.2011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07.09.2011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социального обеспечения, образования,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расходах районного бюджета на 2011 год предусмотрен возврат в областной бюджет неиспользованных целевых трансфертов в сумме 10 246,6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Аршалынского районного маслихата Акмолинской области от 15.03.2011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 в сумме 286 467,4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Аршалынского районного маслихата Акмолинской области от 15.03.2011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10-3. Учесть, что в районном бюджете на 2011 год предусмотрено разрешение на использование неиспользованных (недоиспользованных) в истекшем финансовом году сумм целевых трансфертов на развитие выделенных из республиканского бюджета с соблюдением их целевого назначения за счет остатков бюджетных средств на начало финансового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222 151,2 тысяч тенге - на сумму неоплаченной части зарегистрированных обязательств на строительство средней школы на 600 ученических мест с государственным языком обучения по улице Степной в ауле Жибек жолы аульного округа Жибек жолы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3 223,5 тысячи тенге - на сумму неоплаченной части зарегистрированных обязательств по разработке проектно сметной документации по объекту «Реконструкция водопроводных сетей поселка Аршалы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5 342 тысячи тенге – на выдачу бюджетных кредитов для реализации мер социальной поддержки специалистов социальной сферы сельских населенных пунктов, в связи с пролонгацией кредитного договора от 26 апреля 2010 года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151,7 тысяч тенге – на оплату финансовых услуг по зачислению бюджетных кредитов для реализации мер социальной поддержки специалистов социальной сферы сельских населенных пунктов, в связи с пролонгацией кредитного договора от 26 апреля 2010 года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Аршалынского районного маслихата Акмолинской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Предусмотреть в районном бюджете на 2011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616 тысяч тенге, в связи с упразднением ревизионной комиссии районного маслихата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10-4 в соответствии с решением Аршалынского районного маслихата Акмолинской области от 07.09.2011.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районный бюджет на 2011 год в разрезе аульных, сельских округов и поселка Аршалы,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13.Настоящее решение вступает в силу со дня государственной регистрации в Управлении юстиции Аршалынского района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Т.Чернова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8"/>
        <w:gridCol w:w="698"/>
        <w:gridCol w:w="7201"/>
        <w:gridCol w:w="209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1974907,6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кредитам,выданным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60462,6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58262,6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1467527,6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13"/>
        <w:gridCol w:w="773"/>
        <w:gridCol w:w="730"/>
        <w:gridCol w:w="6438"/>
        <w:gridCol w:w="212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2246552,6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196449,5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180511,5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62748,8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45575,8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103170,7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100482,7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1461777,5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121269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1015489,3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983980,3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325019,2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33149,1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4748,1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291870,1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52911,1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10676,6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42234,5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7387,1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3655,4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2943,6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147213,5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93373,7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51035,8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15422,7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3133,9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33914,1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112188,7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58078,7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189791,7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4451,7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-307 120,0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3382,4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34/2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29"/>
        <w:gridCol w:w="7226"/>
        <w:gridCol w:w="212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2063491,0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437659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1591692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1591692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734"/>
        <w:gridCol w:w="654"/>
        <w:gridCol w:w="6588"/>
        <w:gridCol w:w="213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948411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 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34/2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0"/>
        <w:gridCol w:w="648"/>
        <w:gridCol w:w="7171"/>
        <w:gridCol w:w="216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1948474,0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11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1453007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1453007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51"/>
        <w:gridCol w:w="670"/>
        <w:gridCol w:w="6502"/>
        <w:gridCol w:w="215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1948474,0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1113923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991151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991151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952856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34/2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Аршалынского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34/2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Аршалынского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</w:t>
      </w:r>
      <w:r>
        <w:br/>
      </w:r>
      <w:r>
        <w:rPr>
          <w:rFonts w:ascii="Times New Roman"/>
          <w:b/>
          <w:i w:val="false"/>
          <w:color w:val="000000"/>
        </w:rPr>
        <w:t>
по аульным,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и поселка Аршалы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752"/>
        <w:gridCol w:w="752"/>
        <w:gridCol w:w="187"/>
        <w:gridCol w:w="6270"/>
        <w:gridCol w:w="214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24"/>
        <w:gridCol w:w="726"/>
        <w:gridCol w:w="748"/>
        <w:gridCol w:w="381"/>
        <w:gridCol w:w="6167"/>
        <w:gridCol w:w="2130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6"/>
        <w:gridCol w:w="706"/>
        <w:gridCol w:w="727"/>
        <w:gridCol w:w="360"/>
        <w:gridCol w:w="6180"/>
        <w:gridCol w:w="2135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"/>
        <w:gridCol w:w="734"/>
        <w:gridCol w:w="712"/>
        <w:gridCol w:w="6585"/>
        <w:gridCol w:w="215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57"/>
        <w:gridCol w:w="753"/>
        <w:gridCol w:w="732"/>
        <w:gridCol w:w="351"/>
        <w:gridCol w:w="6185"/>
        <w:gridCol w:w="208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69"/>
        <w:gridCol w:w="730"/>
        <w:gridCol w:w="730"/>
        <w:gridCol w:w="6439"/>
        <w:gridCol w:w="216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5"/>
        <w:gridCol w:w="751"/>
        <w:gridCol w:w="729"/>
        <w:gridCol w:w="252"/>
        <w:gridCol w:w="6214"/>
        <w:gridCol w:w="2182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8711,5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7836,5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2182,5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2026,5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60"/>
        <w:gridCol w:w="792"/>
        <w:gridCol w:w="748"/>
        <w:gridCol w:w="359"/>
        <w:gridCol w:w="6261"/>
        <w:gridCol w:w="217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73"/>
        <w:gridCol w:w="745"/>
        <w:gridCol w:w="745"/>
        <w:gridCol w:w="186"/>
        <w:gridCol w:w="6164"/>
        <w:gridCol w:w="214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35"/>
        <w:gridCol w:w="730"/>
        <w:gridCol w:w="730"/>
        <w:gridCol w:w="209"/>
        <w:gridCol w:w="6183"/>
        <w:gridCol w:w="218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8"/>
        <w:gridCol w:w="832"/>
        <w:gridCol w:w="768"/>
        <w:gridCol w:w="315"/>
        <w:gridCol w:w="6005"/>
        <w:gridCol w:w="212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66"/>
        <w:gridCol w:w="832"/>
        <w:gridCol w:w="811"/>
        <w:gridCol w:w="315"/>
        <w:gridCol w:w="6026"/>
        <w:gridCol w:w="2127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785"/>
        <w:gridCol w:w="827"/>
        <w:gridCol w:w="271"/>
        <w:gridCol w:w="6033"/>
        <w:gridCol w:w="20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501,7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