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3a8" w14:textId="94a7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на территории города Рудного, поселка Качар, Горняцкий, Перцевка и станции Железорудная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Рудненского городского маслихата Костанайской области от 25 февраля 2009 года № 177. Зарегистрировано Управлением юстиции города Рудного Костанайской области 9 апреля 2009 года № 9-2-128. Утратило силу - Решением маслихата города Рудного Костанайской области от 30 июня 2011 года № 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Рудного Костанайской области от 30.06.2011 № 455.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города Рудного от 26 января 2009 года № 21 "О проекте Правил содержания, выгула собак и кошек на территории города Рудного, поселков Качар, Горняцкий, Перцевка и станции Железорудная"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содержания собак и кошек на территории города Рудного, поселков Качар, Горняцкий, Перцевка и станции Железорудная.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В. Вайзер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В. Лощинин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177 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на территории города Рудного,</w:t>
      </w:r>
      <w:r>
        <w:br/>
      </w:r>
      <w:r>
        <w:rPr>
          <w:rFonts w:ascii="Times New Roman"/>
          <w:b/>
          <w:i w:val="false"/>
          <w:color w:val="000000"/>
        </w:rPr>
        <w:t>
поселков Качар, Горняцкий, Перцевка и станции Железорудная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Правила содержания собак и кошек на территории города Рудного, поселков Качар, Горняцкий, Перцевка и станции Железорудная (далее по тексту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Правила действуют в городе Рудном и прилегающих к нему поселках: Качар, Горняцкий, Перцевка и станции Железорудная.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рекомендуют порядок содержания собак и кошек на территории города Рудного, поселков Качар, Горняцкий, Перцевка и станции Железорудная в целях обеспечения благоприятных условий совместного проживания людей,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>идентификация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процедура проведения паспортизации сельскохозяйственных животных, сопровождающейся присвоением индивидуального носителя идентификационного номера (пластмассовые бирки, сережки, татуировочные номера) путем биркования, таврения и татуировки;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>ветеринарные (ветеринарно-санитарные)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нормативный правовой акт, определяющий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 для исполнения физическими и юридическими лицами, осуществляющими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/>
          <w:i w:val="false"/>
          <w:color w:val="000000"/>
          <w:sz w:val="28"/>
        </w:rPr>
        <w:t>ветеринарный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 установленной уполномоченным государственным органом в области ветеринарии формы, в котором указываются: владелец, вид, пол, масть, возраст животного, сроки и характер проведенных ветеринарных обработок в целях профилактики, лечения и диагностики болезней животных.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</w:t>
      </w:r>
      <w:r>
        <w:br/>
      </w:r>
      <w:r>
        <w:rPr>
          <w:rFonts w:ascii="Times New Roman"/>
          <w:b/>
          <w:i w:val="false"/>
          <w:color w:val="000000"/>
        </w:rPr>
        <w:t>
Содержание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Владельцам собак и кошек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идентификацию собак и кошек путем оформления индивидуального ветеринарного паспорта не позднее, чем через два месяца после их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Продажу или передачу собак и (или) кошек новому владельцу осуществлять с одновременной передачей ветеринарного паспорта. Перевозку собак и (или) кошек рекомендуется осуществлять при наличии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на собаке и (или) кошке хорошо видимый ошейник, с закрепленной биркой. На бирке по желанию владельца может быть указана информация, касающаяся собаки и (или) кошки (кличка, порода, возраст);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содержание собаки и (или) кошки в соответствии с ветеринарными (ветеринарно-санитарными) правилами и нормативами, а также в соответствии с их биологическими потребностями (не оставлять без присмотра, пищи, постоянного доступа к питьевой воде), гуманно обращаться с ними (не избивать, в случае заболевания – вовремя прибегнуть к ветеринарной помощи);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содержать собак и (или) кошек на лестничных площадках, чердаках, в подъездах, подвалах, коридорах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тишину при выгуле собак и (или) кошек возле жилых домов. Выгул собак производить в наморднике и на коротком поводке.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пользовании земельного участка содержать собак на привязи или в свободном выгуле (только на хорошо огороженной территории). В целях предупреждения о наличии собаки необходимо разместить хорошо видимую табличку с предупреждающей надписью;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находиться с собакой и (или) кошкой на общественных мероприятиях. Исключение составляют служебные собаки, выполняющие работу по спасению людей, борьбе с преступностью и охране общественного порядка, а также собаки-поводыри для людей со слабым зрением;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устраивать бои собак;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загрязнения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обязательную уборку за собакой и (или) кошкой с помощью специальных приспособлений (пакет, совок);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производить выгул собак и (или) кошек на территории детских дошкольных учреждений, учебных заведений, организаций здравоохранения, детских игровых площадок, спортивных площадок, парков, городского пляжа,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купать и не мыть собак и (или) кошек в фонтанах, водоемах и водозаборах;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собаки и (или) кошки захоронение трупа производить только на территории скотомогильника (биотермической ямы);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создавать необходимые условия ветеринарным специалистам для проведения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предоставлять ветеринарным специалистам по их требованию собак и кошек для осуществления профилактического осмотра, диагностических исследований и проведения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извещать органы государственного ветеринарного надзора и (или) ветеринарных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приобретенной собаке и (или) кошке, полученном приплоде, их убое и продаже;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 случае внезапного падежа, одновременного заболевания нескольких собак и (или) кошек, об их необычном поведении и до прибытия ветеринарных специалистов принимать меры к изолированному содержанию собаки и (или) кошки, подозреваемой в заболевании. В случае доставки в ветеринарное учреждение собаки и (или) кошки, подозреваемой в заболевании, рекомендуется не пользоваться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сообщать в ветеринарную службу и органы здравоохранения обо всех случаях укусов и травм, нанесенных собакой и (или) кошкой другим животным и людям.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Доставлять собак и (или) кошек, покусавших или нанесших травму другим животным или людям, в ветеринарное учреждение для осмотра и проведения соответствующих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 невозможности дальнейшего содержания собаки и (или) кошки передать ее другому лицу или сдать в соответствующее ветеринарное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Собаки и кошки, являющиеся переносчиками болезней животных, включая болезни, общие для животных и человека, подлежат отлову, кроме собак и (или) кошек, находящихся в сопровождении владельцев или оставленных владельцами на привязи.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 владельцев собак и кошек</w:t>
      </w:r>
      <w:r>
        <w:br/>
      </w:r>
      <w:r>
        <w:rPr>
          <w:rFonts w:ascii="Times New Roman"/>
          <w:b/>
          <w:i w:val="false"/>
          <w:color w:val="000000"/>
        </w:rPr>
        <w:t>
за несоблюдение настоящих Правил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Физические и юридические лица (владельцы собак и (или) кошек), виновные в нарушении настоящих Правил, несут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Контроль за соблюдением настоящих Правил осуществляется соответствующими органами государственного контроля и надзора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