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4ad7" w14:textId="8894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Астаны от 30 марта 2004 года N 28/6-III "О правилах благоустройства, санитарного содержания, организации уборки и обеспечения чистоты на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24 мая 2007 года N 380/47-III. Зарегистрировано в Департаменте юстиции города Астаны от 26 июня 2007 года N 469. Утратило силу решением маслихата города Астаны от 20 июля 2017 года № 166/21-VI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маслихата г. Астаны от 20.07.2017 </w:t>
      </w:r>
      <w:r>
        <w:rPr>
          <w:rFonts w:ascii="Times New Roman"/>
          <w:b w:val="false"/>
          <w:i w:val="false"/>
          <w:color w:val="ff0000"/>
          <w:sz w:val="28"/>
        </w:rPr>
        <w:t>№ 166/21-VI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Рассмотрев предложение акимата города Астаны, руководствуясь  </w:t>
      </w:r>
      <w:r>
        <w:rPr>
          <w:rFonts w:ascii="Times New Roman"/>
          <w:b w:val="false"/>
          <w:i w:val="false"/>
          <w:color w:val="000000"/>
          <w:sz w:val="28"/>
        </w:rPr>
        <w:t xml:space="preserve"> статьей 6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в Республике Казахстан", маслихат города Астаны </w:t>
      </w:r>
      <w:r>
        <w:rPr>
          <w:rFonts w:ascii="Times New Roman"/>
          <w:b/>
          <w:i w:val="false"/>
          <w:color w:val="000000"/>
          <w:sz w:val="28"/>
        </w:rPr>
        <w:t xml:space="preserve">РЕШИЛ: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города Астаны от 23.09.2015 </w:t>
      </w:r>
      <w:r>
        <w:rPr>
          <w:rFonts w:ascii="Times New Roman"/>
          <w:b w:val="false"/>
          <w:i w:val="false"/>
          <w:color w:val="ff0000"/>
          <w:sz w:val="28"/>
        </w:rPr>
        <w:t xml:space="preserve"> № 413/57-V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 </w:t>
      </w:r>
      <w:r>
        <w:rPr>
          <w:rFonts w:ascii="Times New Roman"/>
          <w:b w:val="false"/>
          <w:i w:val="false"/>
          <w:color w:val="000000"/>
          <w:sz w:val="28"/>
        </w:rPr>
        <w:t xml:space="preserve">маслихата города Астаны от 30 марта 2004 года N 28/6-III "О правилах благоустройства, санитарного содержания, организации уборки и обеспечения чистоты на территории города Астаны" (зарегистрировано в Реестре государственной регистрации нормативных правовых актов за N 326, опубликовано в газетах "Астана хабары" от 15 мая 2004 года и 17 июля 2004 года "Вечерняя Астана" от  22 мая 2004 года), в  </w:t>
      </w:r>
      <w:r>
        <w:rPr>
          <w:rFonts w:ascii="Times New Roman"/>
          <w:b w:val="false"/>
          <w:i w:val="false"/>
          <w:color w:val="000000"/>
          <w:sz w:val="28"/>
        </w:rPr>
        <w:t xml:space="preserve"> решение </w:t>
      </w:r>
      <w:r>
        <w:rPr>
          <w:rFonts w:ascii="Times New Roman"/>
          <w:b w:val="false"/>
          <w:i w:val="false"/>
          <w:color w:val="000000"/>
          <w:sz w:val="28"/>
        </w:rPr>
        <w:t xml:space="preserve">маслихата города Астаны от 23 декабря 2005 года N 214/28-III "О внесении изменений и дополнений в решение маслихата города Астаны от 30 марта 2004 года 28/6-III "О Правилах благоустройства, санитарного содержания, организации уборки и обеспечения чистоты на территории города Астаны (зарегистрировано Департаментом юстиции города Астаны 5 мая 2004 года за N 326)" (зарегистрировано в Реестре государственной регистрации нормативных правовых актов за N 430, опубликовано в газетах "Вечерняя Астана" от 16 февраля 2006 года, "Астана хабары" от 18 февраля 2006 года), следующие изменения: </w:t>
      </w:r>
    </w:p>
    <w:bookmarkEnd w:id="1"/>
    <w:p>
      <w:pPr>
        <w:spacing w:after="0"/>
        <w:ind w:left="0"/>
        <w:jc w:val="both"/>
      </w:pPr>
      <w:r>
        <w:rPr>
          <w:rFonts w:ascii="Times New Roman"/>
          <w:b w:val="false"/>
          <w:i w:val="false"/>
          <w:color w:val="000000"/>
          <w:sz w:val="28"/>
        </w:rPr>
        <w:t xml:space="preserve">
      в Правилах  благоустройства, санитарного содержания, организации уборки и обеспечения чистоты на территории города Астаны (далее - Правила), утвержденных указанным решением: </w:t>
      </w:r>
    </w:p>
    <w:p>
      <w:pPr>
        <w:spacing w:after="0"/>
        <w:ind w:left="0"/>
        <w:jc w:val="both"/>
      </w:pPr>
      <w:r>
        <w:rPr>
          <w:rFonts w:ascii="Times New Roman"/>
          <w:b w:val="false"/>
          <w:i w:val="false"/>
          <w:color w:val="000000"/>
          <w:sz w:val="28"/>
        </w:rPr>
        <w:t xml:space="preserve">
      1) в тексте Правил на государственном языке заголовок главы "2. Қала аумағын тазарту тәртібі" считать главой "3. Қала аумағын тазарту тәртібі"; </w:t>
      </w:r>
    </w:p>
    <w:p>
      <w:pPr>
        <w:spacing w:after="0"/>
        <w:ind w:left="0"/>
        <w:jc w:val="both"/>
      </w:pPr>
      <w:r>
        <w:rPr>
          <w:rFonts w:ascii="Times New Roman"/>
          <w:b w:val="false"/>
          <w:i w:val="false"/>
          <w:color w:val="000000"/>
          <w:sz w:val="28"/>
        </w:rPr>
        <w:t xml:space="preserve">
      2) в тексте Правил на государственном языке последующие главы 3-15 соответственно считать главами 4-16; </w:t>
      </w:r>
    </w:p>
    <w:p>
      <w:pPr>
        <w:spacing w:after="0"/>
        <w:ind w:left="0"/>
        <w:jc w:val="both"/>
      </w:pPr>
      <w:r>
        <w:rPr>
          <w:rFonts w:ascii="Times New Roman"/>
          <w:b w:val="false"/>
          <w:i w:val="false"/>
          <w:color w:val="000000"/>
          <w:sz w:val="28"/>
        </w:rPr>
        <w:t xml:space="preserve">
      3) главу 9 изложить в новой редакции:  </w:t>
      </w:r>
    </w:p>
    <w:p>
      <w:pPr>
        <w:spacing w:after="0"/>
        <w:ind w:left="0"/>
        <w:jc w:val="left"/>
      </w:pPr>
      <w:r>
        <w:rPr>
          <w:rFonts w:ascii="Times New Roman"/>
          <w:b/>
          <w:i w:val="false"/>
          <w:color w:val="000000"/>
        </w:rPr>
        <w:t xml:space="preserve"> " 9. Содержание строительных площадок и участков</w:t>
      </w:r>
    </w:p>
    <w:p>
      <w:pPr>
        <w:spacing w:after="0"/>
        <w:ind w:left="0"/>
        <w:jc w:val="both"/>
      </w:pPr>
      <w:r>
        <w:rPr>
          <w:rFonts w:ascii="Times New Roman"/>
          <w:b w:val="false"/>
          <w:i w:val="false"/>
          <w:color w:val="000000"/>
          <w:sz w:val="28"/>
        </w:rPr>
        <w:t xml:space="preserve">
      119.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стройгенпланом; </w:t>
      </w:r>
    </w:p>
    <w:p>
      <w:pPr>
        <w:spacing w:after="0"/>
        <w:ind w:left="0"/>
        <w:jc w:val="both"/>
      </w:pPr>
      <w:r>
        <w:rPr>
          <w:rFonts w:ascii="Times New Roman"/>
          <w:b w:val="false"/>
          <w:i w:val="false"/>
          <w:color w:val="000000"/>
          <w:sz w:val="28"/>
        </w:rPr>
        <w:t xml:space="preserve">
      при проведение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  </w:t>
      </w:r>
    </w:p>
    <w:p>
      <w:pPr>
        <w:spacing w:after="0"/>
        <w:ind w:left="0"/>
        <w:jc w:val="both"/>
      </w:pPr>
      <w:r>
        <w:rPr>
          <w:rFonts w:ascii="Times New Roman"/>
          <w:b w:val="false"/>
          <w:i w:val="false"/>
          <w:color w:val="000000"/>
          <w:sz w:val="28"/>
        </w:rPr>
        <w:t xml:space="preserve">
      120. Для обустройства строительной площадки (участка сноса) застройщик, владелец объекта получает разрешение на проведение подготовительных работ в органе государственного архитектурно-строительного контроля.  </w:t>
      </w:r>
    </w:p>
    <w:p>
      <w:pPr>
        <w:spacing w:after="0"/>
        <w:ind w:left="0"/>
        <w:jc w:val="both"/>
      </w:pPr>
      <w:r>
        <w:rPr>
          <w:rFonts w:ascii="Times New Roman"/>
          <w:b w:val="false"/>
          <w:i w:val="false"/>
          <w:color w:val="000000"/>
          <w:sz w:val="28"/>
        </w:rPr>
        <w:t xml:space="preserve">
      Для получения разрешения на снос объектов застройщику необходимо представить в орган государственного архитектурно-строительного контроля решение об отводе данного участка, техническое решение по сносу или проект сноса, решения (договоры) по вывозу, утилизации строительного мусора, отходов, подтверждение об отключении инженерных сетей от объектов сноса, согласования с соответствующими государственными органами (органы архитектуры, жилья, санитарно-эпидемиологического надзора, аппарат акима района и другие по согласованию). </w:t>
      </w:r>
    </w:p>
    <w:p>
      <w:pPr>
        <w:spacing w:after="0"/>
        <w:ind w:left="0"/>
        <w:jc w:val="both"/>
      </w:pPr>
      <w:r>
        <w:rPr>
          <w:rFonts w:ascii="Times New Roman"/>
          <w:b w:val="false"/>
          <w:i w:val="false"/>
          <w:color w:val="000000"/>
          <w:sz w:val="28"/>
        </w:rPr>
        <w:t xml:space="preserve">
      Строительную площадку (участок сноса) необходимо обустроить согласно требованиям соответствующих норм и правил с соблюдением следующих обязательных требований:   </w:t>
      </w:r>
    </w:p>
    <w:p>
      <w:pPr>
        <w:spacing w:after="0"/>
        <w:ind w:left="0"/>
        <w:jc w:val="both"/>
      </w:pPr>
      <w:r>
        <w:rPr>
          <w:rFonts w:ascii="Times New Roman"/>
          <w:b w:val="false"/>
          <w:i w:val="false"/>
          <w:color w:val="000000"/>
          <w:sz w:val="28"/>
        </w:rPr>
        <w:t xml:space="preserve">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 </w:t>
      </w:r>
    </w:p>
    <w:p>
      <w:pPr>
        <w:spacing w:after="0"/>
        <w:ind w:left="0"/>
        <w:jc w:val="both"/>
      </w:pPr>
      <w:r>
        <w:rPr>
          <w:rFonts w:ascii="Times New Roman"/>
          <w:b w:val="false"/>
          <w:i w:val="false"/>
          <w:color w:val="000000"/>
          <w:sz w:val="28"/>
        </w:rPr>
        <w:t xml:space="preserve">
      в местах массового прохода людей ограждение необходимо оборудовать сплошным защитным козырьком; </w:t>
      </w:r>
    </w:p>
    <w:p>
      <w:pPr>
        <w:spacing w:after="0"/>
        <w:ind w:left="0"/>
        <w:jc w:val="both"/>
      </w:pPr>
      <w:r>
        <w:rPr>
          <w:rFonts w:ascii="Times New Roman"/>
          <w:b w:val="false"/>
          <w:i w:val="false"/>
          <w:color w:val="000000"/>
          <w:sz w:val="28"/>
        </w:rPr>
        <w:t xml:space="preserve">
      2) ограждение необходимо изготовить из металлических профилированных листов либо из железобетонных панелей, предназначенных для ограждений; </w:t>
      </w:r>
    </w:p>
    <w:p>
      <w:pPr>
        <w:spacing w:after="0"/>
        <w:ind w:left="0"/>
        <w:jc w:val="both"/>
      </w:pPr>
      <w:r>
        <w:rPr>
          <w:rFonts w:ascii="Times New Roman"/>
          <w:b w:val="false"/>
          <w:i w:val="false"/>
          <w:color w:val="000000"/>
          <w:sz w:val="28"/>
        </w:rPr>
        <w:t xml:space="preserve">
      3) конструкции ограждения необходимо жестко закрепить и выравнить в горизонтальном и вертикальном направлениях, покрасить, чтоб имел опрятный внешний вид: очищены от грязи, промыты, не иметь проемов, поврежденных участков, посторонних объявлений и надписей; </w:t>
      </w:r>
    </w:p>
    <w:p>
      <w:pPr>
        <w:spacing w:after="0"/>
        <w:ind w:left="0"/>
        <w:jc w:val="both"/>
      </w:pPr>
      <w:r>
        <w:rPr>
          <w:rFonts w:ascii="Times New Roman"/>
          <w:b w:val="false"/>
          <w:i w:val="false"/>
          <w:color w:val="000000"/>
          <w:sz w:val="28"/>
        </w:rPr>
        <w:t xml:space="preserve">
      4) необходимо, чтобы высота ограждения была не менее трех метров от уровня рельефа местности, не иметь зазоров в нижней части; </w:t>
      </w:r>
    </w:p>
    <w:p>
      <w:pPr>
        <w:spacing w:after="0"/>
        <w:ind w:left="0"/>
        <w:jc w:val="both"/>
      </w:pPr>
      <w:r>
        <w:rPr>
          <w:rFonts w:ascii="Times New Roman"/>
          <w:b w:val="false"/>
          <w:i w:val="false"/>
          <w:color w:val="000000"/>
          <w:sz w:val="28"/>
        </w:rPr>
        <w:t xml:space="preserve">
      при строительстве небольших пристроек к существующим строениям либо отдельных выходов допускается устройство ограждения высотой два метра; </w:t>
      </w:r>
    </w:p>
    <w:p>
      <w:pPr>
        <w:spacing w:after="0"/>
        <w:ind w:left="0"/>
        <w:jc w:val="both"/>
      </w:pPr>
      <w:r>
        <w:rPr>
          <w:rFonts w:ascii="Times New Roman"/>
          <w:b w:val="false"/>
          <w:i w:val="false"/>
          <w:color w:val="000000"/>
          <w:sz w:val="28"/>
        </w:rPr>
        <w:t xml:space="preserve">
      5) со стройплощадки предусматривается минимальное количество выездов с выходом на второстепенные улицы с установкой ворот либо шлагбаума; </w:t>
      </w:r>
    </w:p>
    <w:p>
      <w:pPr>
        <w:spacing w:after="0"/>
        <w:ind w:left="0"/>
        <w:jc w:val="both"/>
      </w:pPr>
      <w:r>
        <w:rPr>
          <w:rFonts w:ascii="Times New Roman"/>
          <w:b w:val="false"/>
          <w:i w:val="false"/>
          <w:color w:val="000000"/>
          <w:sz w:val="28"/>
        </w:rPr>
        <w:t xml:space="preserve">
      6) у выездов устанавливаются информационные щиты; </w:t>
      </w:r>
    </w:p>
    <w:p>
      <w:pPr>
        <w:spacing w:after="0"/>
        <w:ind w:left="0"/>
        <w:jc w:val="both"/>
      </w:pPr>
      <w:r>
        <w:rPr>
          <w:rFonts w:ascii="Times New Roman"/>
          <w:b w:val="false"/>
          <w:i w:val="false"/>
          <w:color w:val="000000"/>
          <w:sz w:val="28"/>
        </w:rPr>
        <w:t xml:space="preserve">
      7)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 </w:t>
      </w:r>
    </w:p>
    <w:p>
      <w:pPr>
        <w:spacing w:after="0"/>
        <w:ind w:left="0"/>
        <w:jc w:val="both"/>
      </w:pPr>
      <w:r>
        <w:rPr>
          <w:rFonts w:ascii="Times New Roman"/>
          <w:b w:val="false"/>
          <w:i w:val="false"/>
          <w:color w:val="000000"/>
          <w:sz w:val="28"/>
        </w:rPr>
        <w:t xml:space="preserve">
      8) внутриплощадочные дороги и подъездные пути к стройплощадкам необходимо обустроить и уложить покрытие в соответствии со стройгенпланом, обеспечить их примыкание к асфальтированным городским проездам; </w:t>
      </w:r>
    </w:p>
    <w:p>
      <w:pPr>
        <w:spacing w:after="0"/>
        <w:ind w:left="0"/>
        <w:jc w:val="both"/>
      </w:pPr>
      <w:r>
        <w:rPr>
          <w:rFonts w:ascii="Times New Roman"/>
          <w:b w:val="false"/>
          <w:i w:val="false"/>
          <w:color w:val="000000"/>
          <w:sz w:val="28"/>
        </w:rPr>
        <w:t xml:space="preserve">
      9) на выездах оборудуются пункты мойки (очистки) колес транспортных средств;  </w:t>
      </w:r>
    </w:p>
    <w:p>
      <w:pPr>
        <w:spacing w:after="0"/>
        <w:ind w:left="0"/>
        <w:jc w:val="both"/>
      </w:pPr>
      <w:r>
        <w:rPr>
          <w:rFonts w:ascii="Times New Roman"/>
          <w:b w:val="false"/>
          <w:i w:val="false"/>
          <w:color w:val="000000"/>
          <w:sz w:val="28"/>
        </w:rPr>
        <w:t xml:space="preserve">
      10)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города и близлежащие строения; </w:t>
      </w:r>
    </w:p>
    <w:p>
      <w:pPr>
        <w:spacing w:after="0"/>
        <w:ind w:left="0"/>
        <w:jc w:val="both"/>
      </w:pPr>
      <w:r>
        <w:rPr>
          <w:rFonts w:ascii="Times New Roman"/>
          <w:b w:val="false"/>
          <w:i w:val="false"/>
          <w:color w:val="000000"/>
          <w:sz w:val="28"/>
        </w:rPr>
        <w:t xml:space="preserve">
      для сбора строительного и бытового мусора необходимо установить контейнеры, бункеры-накопители и организовать своевременный вывоз мусора; </w:t>
      </w:r>
    </w:p>
    <w:p>
      <w:pPr>
        <w:spacing w:after="0"/>
        <w:ind w:left="0"/>
        <w:jc w:val="both"/>
      </w:pPr>
      <w:r>
        <w:rPr>
          <w:rFonts w:ascii="Times New Roman"/>
          <w:b w:val="false"/>
          <w:i w:val="false"/>
          <w:color w:val="000000"/>
          <w:sz w:val="28"/>
        </w:rPr>
        <w:t xml:space="preserve">
      прилегающая к строительной площадке (участку сноса) территорию также необходимо содержать в надлежащем состоянии и периодически убирать; </w:t>
      </w:r>
    </w:p>
    <w:p>
      <w:pPr>
        <w:spacing w:after="0"/>
        <w:ind w:left="0"/>
        <w:jc w:val="both"/>
      </w:pPr>
      <w:r>
        <w:rPr>
          <w:rFonts w:ascii="Times New Roman"/>
          <w:b w:val="false"/>
          <w:i w:val="false"/>
          <w:color w:val="000000"/>
          <w:sz w:val="28"/>
        </w:rPr>
        <w:t xml:space="preserve">
      11) необходимо предусмотреть меры по исключению выноса за пределы стройплощадки строительных материалов, мусора (синтетические пленки, пологи, стружки, опилки, упаковочный материал и другие); </w:t>
      </w:r>
    </w:p>
    <w:p>
      <w:pPr>
        <w:spacing w:after="0"/>
        <w:ind w:left="0"/>
        <w:jc w:val="both"/>
      </w:pPr>
      <w:r>
        <w:rPr>
          <w:rFonts w:ascii="Times New Roman"/>
          <w:b w:val="false"/>
          <w:i w:val="false"/>
          <w:color w:val="000000"/>
          <w:sz w:val="28"/>
        </w:rPr>
        <w:t xml:space="preserve">
      12) не допускается сбрасывание отходов и мусора с этажей объектов без применения закрытых лотков и бункеров-накопителей; </w:t>
      </w:r>
    </w:p>
    <w:p>
      <w:pPr>
        <w:spacing w:after="0"/>
        <w:ind w:left="0"/>
        <w:jc w:val="both"/>
      </w:pPr>
      <w:r>
        <w:rPr>
          <w:rFonts w:ascii="Times New Roman"/>
          <w:b w:val="false"/>
          <w:i w:val="false"/>
          <w:color w:val="000000"/>
          <w:sz w:val="28"/>
        </w:rPr>
        <w:t xml:space="preserve">
      13)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 </w:t>
      </w:r>
    </w:p>
    <w:p>
      <w:pPr>
        <w:spacing w:after="0"/>
        <w:ind w:left="0"/>
        <w:jc w:val="both"/>
      </w:pPr>
      <w:r>
        <w:rPr>
          <w:rFonts w:ascii="Times New Roman"/>
          <w:b w:val="false"/>
          <w:i w:val="false"/>
          <w:color w:val="000000"/>
          <w:sz w:val="28"/>
        </w:rPr>
        <w:t xml:space="preserve">
      14) ограждения из сеток навешиваются на специально изготовленные для этих целей крепления по фасаду здания либо на конструкциях установленных лесов; сетки натягиваются и закрепляются по всей поверхности для придания им устойчивости; </w:t>
      </w:r>
    </w:p>
    <w:p>
      <w:pPr>
        <w:spacing w:after="0"/>
        <w:ind w:left="0"/>
        <w:jc w:val="both"/>
      </w:pPr>
      <w:r>
        <w:rPr>
          <w:rFonts w:ascii="Times New Roman"/>
          <w:b w:val="false"/>
          <w:i w:val="false"/>
          <w:color w:val="000000"/>
          <w:sz w:val="28"/>
        </w:rPr>
        <w:t xml:space="preserve">
      не допускаются искривление и провисание сеток; </w:t>
      </w:r>
    </w:p>
    <w:p>
      <w:pPr>
        <w:spacing w:after="0"/>
        <w:ind w:left="0"/>
        <w:jc w:val="both"/>
      </w:pPr>
      <w:r>
        <w:rPr>
          <w:rFonts w:ascii="Times New Roman"/>
          <w:b w:val="false"/>
          <w:i w:val="false"/>
          <w:color w:val="000000"/>
          <w:sz w:val="28"/>
        </w:rPr>
        <w:t xml:space="preserve">
      15) при необходимости обеспечиваются обустройство тротуаров, пешеходных галерей, настилов, перил, объездных и временных дорог и содержание их в исправном состоянии; </w:t>
      </w:r>
    </w:p>
    <w:p>
      <w:pPr>
        <w:spacing w:after="0"/>
        <w:ind w:left="0"/>
        <w:jc w:val="both"/>
      </w:pPr>
      <w:r>
        <w:rPr>
          <w:rFonts w:ascii="Times New Roman"/>
          <w:b w:val="false"/>
          <w:i w:val="false"/>
          <w:color w:val="000000"/>
          <w:sz w:val="28"/>
        </w:rPr>
        <w:t xml:space="preserve">
      16) разборку строений на участках сноса начинать только после выполнения мероприятий по подготовке площадки; </w:t>
      </w:r>
    </w:p>
    <w:p>
      <w:pPr>
        <w:spacing w:after="0"/>
        <w:ind w:left="0"/>
        <w:jc w:val="both"/>
      </w:pPr>
      <w:r>
        <w:rPr>
          <w:rFonts w:ascii="Times New Roman"/>
          <w:b w:val="false"/>
          <w:i w:val="false"/>
          <w:color w:val="000000"/>
          <w:sz w:val="28"/>
        </w:rPr>
        <w:t xml:space="preserve">
      17) разборку начинать с верхних конструкций в целях исключения внезапного обрушения элементов зданий. </w:t>
      </w:r>
    </w:p>
    <w:p>
      <w:pPr>
        <w:spacing w:after="0"/>
        <w:ind w:left="0"/>
        <w:jc w:val="both"/>
      </w:pPr>
      <w:r>
        <w:rPr>
          <w:rFonts w:ascii="Times New Roman"/>
          <w:b w:val="false"/>
          <w:i w:val="false"/>
          <w:color w:val="000000"/>
          <w:sz w:val="28"/>
        </w:rPr>
        <w:t xml:space="preserve">
      121. Все материалы и грунт размещаются только в пределах огражденной территории; </w:t>
      </w:r>
    </w:p>
    <w:p>
      <w:pPr>
        <w:spacing w:after="0"/>
        <w:ind w:left="0"/>
        <w:jc w:val="both"/>
      </w:pPr>
      <w:r>
        <w:rPr>
          <w:rFonts w:ascii="Times New Roman"/>
          <w:b w:val="false"/>
          <w:i w:val="false"/>
          <w:color w:val="000000"/>
          <w:sz w:val="28"/>
        </w:rPr>
        <w:t xml:space="preserve">
      вынутый грунт (за исключением плодородного), отходы сноса, мусор немедленно вывозятся на полигон твердых бытовых отходов, грунт может вывозиться на другие участки по согласованию с акимами районов "Алматы" и "Сарыарка"; </w:t>
      </w:r>
    </w:p>
    <w:p>
      <w:pPr>
        <w:spacing w:after="0"/>
        <w:ind w:left="0"/>
        <w:jc w:val="both"/>
      </w:pPr>
      <w:r>
        <w:rPr>
          <w:rFonts w:ascii="Times New Roman"/>
          <w:b w:val="false"/>
          <w:i w:val="false"/>
          <w:color w:val="000000"/>
          <w:sz w:val="28"/>
        </w:rPr>
        <w:t xml:space="preserve">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  </w:t>
      </w:r>
    </w:p>
    <w:p>
      <w:pPr>
        <w:spacing w:after="0"/>
        <w:ind w:left="0"/>
        <w:jc w:val="both"/>
      </w:pPr>
      <w:r>
        <w:rPr>
          <w:rFonts w:ascii="Times New Roman"/>
          <w:b w:val="false"/>
          <w:i w:val="false"/>
          <w:color w:val="000000"/>
          <w:sz w:val="28"/>
        </w:rPr>
        <w:t xml:space="preserve">
      122.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  </w:t>
      </w:r>
    </w:p>
    <w:p>
      <w:pPr>
        <w:spacing w:after="0"/>
        <w:ind w:left="0"/>
        <w:jc w:val="both"/>
      </w:pPr>
      <w:r>
        <w:rPr>
          <w:rFonts w:ascii="Times New Roman"/>
          <w:b w:val="false"/>
          <w:i w:val="false"/>
          <w:color w:val="000000"/>
          <w:sz w:val="28"/>
        </w:rPr>
        <w:t xml:space="preserve">
      123. Застройщиком обеспечивается своевременный вывоз строительного и бытового мусора. </w:t>
      </w:r>
    </w:p>
    <w:p>
      <w:pPr>
        <w:spacing w:after="0"/>
        <w:ind w:left="0"/>
        <w:jc w:val="both"/>
      </w:pPr>
      <w:r>
        <w:rPr>
          <w:rFonts w:ascii="Times New Roman"/>
          <w:b w:val="false"/>
          <w:i w:val="false"/>
          <w:color w:val="000000"/>
          <w:sz w:val="28"/>
        </w:rPr>
        <w:t xml:space="preserve">
      124. После завершения строительства (сноса), застройщику необходимо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 </w:t>
      </w:r>
    </w:p>
    <w:p>
      <w:pPr>
        <w:spacing w:after="0"/>
        <w:ind w:left="0"/>
        <w:jc w:val="both"/>
      </w:pPr>
      <w:r>
        <w:rPr>
          <w:rFonts w:ascii="Times New Roman"/>
          <w:b w:val="false"/>
          <w:i w:val="false"/>
          <w:color w:val="000000"/>
          <w:sz w:val="28"/>
        </w:rPr>
        <w:t xml:space="preserve">
      4) в пункте 135 главы 12 слова "Департамент коммунального хозяйства города Астаны" заменить словами "Департамент государственного архитектурно-строительного контроля города Астаны". </w:t>
      </w:r>
    </w:p>
    <w:bookmarkStart w:name="z3"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Анасова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