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04636" w14:textId="46046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и сроков представления банками второго уровня отчета об операциях "РЕПО", "обратное РЕПО"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27 мая 2006 года № 115. Зарегистрировано в Министерстве юстиции Республики Казахстан 23 июня 2006 года № 4264. Утратило силу постановлением Правления Агентства Республики Казахстан по регулированию и надзору финансового рынка и финансовых организаций от 3 сентября 2010 года № 130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Правления АФН РК от 03.09.2010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01.11.2010).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повышения степени прозрачности деятельности банков второго уровня, в соответствии со 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  </w:t>
      </w:r>
      <w:r>
        <w:rPr>
          <w:rFonts w:ascii="Times New Roman"/>
          <w:b w:val="false"/>
          <w:i w:val="false"/>
          <w:color w:val="000000"/>
          <w:sz w:val="28"/>
        </w:rPr>
        <w:t xml:space="preserve">54 Закона Республики Казахстан "О банках и банковской деятельности в Республике Казахстан" и подпунктом 6) пункта I 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  </w:t>
      </w:r>
      <w:r>
        <w:rPr>
          <w:rFonts w:ascii="Times New Roman"/>
          <w:b w:val="false"/>
          <w:i w:val="false"/>
          <w:color w:val="000000"/>
          <w:sz w:val="28"/>
        </w:rPr>
        <w:t xml:space="preserve">9 Закона Республики Казахстан "О государственном регулировании и надзоре финансового рынка и финансовых организаций", Правление Агентства Республики Казахстан по регулированию и надзору финансового рынка и финансовых организаций (далее - Агентство)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форму "Отчет об операциях "РЕПО" и "обратное РЕПО" (далее - форма).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Банки ежемесячно, не позднее 18.00 часов времени города Астаны шестого рабочего дня месяца, следующего за отчетным месяцем, представляют в уполномоченный орган по регулированию и надзору финансового рынка и финансовых организаций (далее - уполномоченный орган) форму на электронном носителе с использованием транспортной системы гарантированной доставки информации с криптографическими средствами защиты, обеспечивающей конфиденциальность и некорректируемость представляемых данных.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Форма на бумажном носителе, составляемая ежемесячно, подписывается первым руководителем правления банка или лицом, его заменяющим, главным бухгалтером, заверяется печатью и хранится у банков. Банки не позднее двух рабочих дней со дня получения запроса уполномоченного органа предоставляют форму на бумажном носителе.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Идентичность данных, представляемых на электронном носителе, данным на бумажном носителе, обеспечивается первым руководителем правления банка или лицом его замещающим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вводится в действие с 1 августа 2006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Департаменту надзора за банками (Раева Р.Е.):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(Байсынов М.Б.) принять меры к государственной регистрации в Министерстве юстиции Республики Казахстан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настоящего постановления довести его до сведения заинтересованных подразделений Агентства, банков второго уровня Республики Казахстан, Объединения юридических лиц "Ассоциация финансистов Казахстана".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Управлению информационных технологий (Бейсенбаев А. Ж.) принять меры по оптимизации и автоматизации сведений, предоставляемых банками второго уровня по средствам Автоматизированной информационной подсистемы "Статистика" в срок до введения в действие данного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bookmarkStart w:name="z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Отделу международных отношений и связей с общественностью (Пернебаев Т.Ш.) принять меры к публикации настоящего постановления в средствах массовой информации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Контроль за исполнением настоящего постановления возложить на заместителя Председателя Агентства Бахмутову Е.Л.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Агентства </w:t>
      </w:r>
    </w:p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к постановлению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Правления Агентства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по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регулированию и надзору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финансового рынка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финансовых организаций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" __ " _______ 2006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___                      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Отчет об операциях "РЕПО", "обратное РЕПО"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" ______________________________ 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(полное наименование банка)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 состоянию на 1 " ________ " 200_ года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7"/>
        <w:gridCol w:w="1783"/>
        <w:gridCol w:w="1276"/>
        <w:gridCol w:w="2039"/>
        <w:gridCol w:w="1593"/>
        <w:gridCol w:w="1611"/>
        <w:gridCol w:w="2281"/>
      </w:tblGrid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операции 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идентифи-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кационный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идентифи-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кационный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агента 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заключе-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сделки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РЕПО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рждаю-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мента 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"РЕПО" 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рынок 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1.1.1. 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"Прямой"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 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1.1.2. 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"Автома-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тический"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 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Неоргани-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зованный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рынок 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"обратное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РЕПО" 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рынок 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2.1.1. 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"Прямой"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 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2.1.2. 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"Автома-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тический"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 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 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Неоргани-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зованный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рынок 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3"/>
        <w:gridCol w:w="1253"/>
        <w:gridCol w:w="1253"/>
        <w:gridCol w:w="1253"/>
        <w:gridCol w:w="1253"/>
        <w:gridCol w:w="1253"/>
        <w:gridCol w:w="1253"/>
        <w:gridCol w:w="1253"/>
        <w:gridCol w:w="1253"/>
        <w:gridCol w:w="493"/>
      </w:tblGrid>
      <w:tr>
        <w:trPr>
          <w:trHeight w:val="450" w:hRule="atLeast"/>
        </w:trPr>
        <w:tc>
          <w:tcPr>
            <w:tcW w:w="1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</w:p>
        </w:tc>
        <w:tc>
          <w:tcPr>
            <w:tcW w:w="1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РЕПО </w:t>
            </w:r>
          </w:p>
        </w:tc>
        <w:tc>
          <w:tcPr>
            <w:tcW w:w="1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Ставка возна- граж- дения </w:t>
            </w:r>
          </w:p>
        </w:tc>
        <w:tc>
          <w:tcPr>
            <w:tcW w:w="1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Коли- чество ценных бумаг РЕПО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РЕПО </w:t>
            </w:r>
          </w:p>
        </w:tc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откры-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РЕПО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РЕПО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сделка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лонги-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тенге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ино-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стран- ной валюте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1.1.1.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1.1.2.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2.1.1.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2.1.2.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Примечание: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Данный отчет необходимо предоставлять по всем видам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ценных бумаг участвующих в сделках РЕПО на отчетную дату;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 графе "номер подтверждающего документа" для сделок, осуществленных на организованном рынке указывать номер, присвоенный организаторами торгов, для сделок, проводимых на неорганизованном рынке указывать номер договора РЕПО;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 графе "Примечание" необходимо указывать какой стороне сделки принадлежит право пользования ценными бумагами.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Первый руководитель правления банка или лицо, его замещающее ______________________ дата 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Главный бухгалтер _____________ дата 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Исполнитель _______________ дата 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Телефон: 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Место для печати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