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b2dd98" w14:textId="1b2dd9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некоторые решения Правительства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18 января 2021 года № 12.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 ПОСТАНОВЛЯЕТ: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изменения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и дополнения, которые вносятся в некоторые решения Правительства Республики Казахстан.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опубликования, за исключением абзаца пятидесятого пункта 5 прилагаемых изменений и дополнений, который вводится в действие с 1 января 2023 года.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Мамин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января 2020 года № 12</w:t>
            </w:r>
          </w:p>
        </w:tc>
      </w:tr>
    </w:tbl>
    <w:bookmarkStart w:name="z9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Изменения и дополнения, которые вносятся в некоторые решения Правительства Республики Казахстан</w:t>
      </w:r>
    </w:p>
    <w:bookmarkEnd w:id="2"/>
    <w:p>
      <w:pPr>
        <w:spacing w:after="0"/>
        <w:ind w:left="0"/>
        <w:jc w:val="both"/>
      </w:pPr>
      <w:bookmarkStart w:name="z10" w:id="3"/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постановлением Правительства РК от 13.07.2023 </w:t>
      </w:r>
      <w:r>
        <w:rPr>
          <w:rFonts w:ascii="Times New Roman"/>
          <w:b w:val="false"/>
          <w:i w:val="false"/>
          <w:color w:val="ff0000"/>
          <w:sz w:val="28"/>
        </w:rPr>
        <w:t>№ 559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Утратил силу постановлением Правительства РК от 13.07.2023 </w:t>
      </w:r>
      <w:r>
        <w:rPr>
          <w:rFonts w:ascii="Times New Roman"/>
          <w:b w:val="false"/>
          <w:i w:val="false"/>
          <w:color w:val="000000"/>
          <w:sz w:val="28"/>
        </w:rPr>
        <w:t>№ 559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3. Утратил силу постановлением Правительства РК от 13.07.2023 </w:t>
      </w:r>
      <w:r>
        <w:rPr>
          <w:rFonts w:ascii="Times New Roman"/>
          <w:b w:val="false"/>
          <w:i w:val="false"/>
          <w:color w:val="000000"/>
          <w:sz w:val="28"/>
        </w:rPr>
        <w:t>№ 559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со дня его первого официального опубликования).</w:t>
      </w:r>
    </w:p>
    <w:bookmarkStart w:name="z3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20 декабря 2016 года № 832 "Об утверждении единых требований в области информационно-коммуникационных технологий и обеспечения информационной безопасности" (САПП Республики Казахстан, 2016 г., № 65, ст. 428):</w:t>
      </w:r>
    </w:p>
    <w:bookmarkEnd w:id="4"/>
    <w:bookmarkStart w:name="z3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единых требованиях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в области информационно-коммуникационных технологий и обеспечения информационной безопасности, утвержденных указанным постановлением:</w:t>
      </w:r>
    </w:p>
    <w:bookmarkEnd w:id="5"/>
    <w:bookmarkStart w:name="z3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изменение вносится в текст на казахском языке, текст на русском языке не изменяется;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Положения ЕТ не распространяются на:</w:t>
      </w:r>
    </w:p>
    <w:bookmarkEnd w:id="7"/>
    <w:bookmarkStart w:name="z3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отношения, возникающие при осуществлении Национальным Банком Республики Казахстан и организациями, входящими в его структуру, работ по созданию или развитию, эксплуатации интернет-ресурсов, информационных систем, не интегрируемых с объектами информационно-коммуникационной инфраструктуры "электронного правительства", локальных сетей и сетей телекоммуникаций, а также проведении закупок товаров, работ и услуг в сфере информатизации;</w:t>
      </w:r>
    </w:p>
    <w:bookmarkEnd w:id="8"/>
    <w:bookmarkStart w:name="z4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информационные системы в защищенном исполнении, отнесенные к государственным секретам в соответствии с законодательством Республики Казахстан о государственных секретах, а также сети телекоммуникаций специального назначения и/или президентской, правительственной, засекреченной, шифрованной и кодированной связи;</w:t>
      </w:r>
    </w:p>
    <w:bookmarkEnd w:id="9"/>
    <w:bookmarkStart w:name="z4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отношения, возникающие при осуществлении уполномоченным органом по регулированию, контролю и надзору финансового рынка и финансовых организаций работ по созданию или развитию информационных систем, интегрируемых с информационными системами Национального Банка Республики Казахстан, которые не интегрируются с объектами информационно-коммуникационной инфраструктуры "электронного правительства";</w:t>
      </w:r>
    </w:p>
    <w:bookmarkEnd w:id="10"/>
    <w:bookmarkStart w:name="z4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организации в случаях, когда исполнение таких положений ведет к нарушению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50 Закона Республики Казахстан "О банках и банковской деятельности в Республике Казахстан".";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изложить в следующей редакции:</w:t>
      </w:r>
    </w:p>
    <w:bookmarkStart w:name="z4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установление требований по унификации компонентов объектов информационно-коммуникационной инфраструктуры;";</w:t>
      </w:r>
    </w:p>
    <w:bookmarkEnd w:id="12"/>
    <w:bookmarkStart w:name="z4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пункте 6: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"17) локальная сеть внешнего контура (далее – ЛС внешнего контура) – локальная сеть субъектов информатизации, определенных уполномоченным органом, отнесенная к внешнему контуру телекоммуникационной сети субъектов информатизации, имеющая соединение с Интернетом, доступ к которому для субъектов информатизации предоставляется операторами связи только через единый шлюз доступа к Интернету;";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"23) локальная сеть внутреннего контура (далее – ЛС внутреннего контура) – локальная сеть субъектов информатизации, определенных уполномоченным органом, отнесенная к внутреннему контуру телекоммуникационной сети субъектов информатизации, имеющая соединение с единой транспортной средой государственных органов;";</w:t>
      </w:r>
    </w:p>
    <w:bookmarkEnd w:id="15"/>
    <w:bookmarkStart w:name="z5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26) и 27) следующего содержания:</w:t>
      </w:r>
    </w:p>
    <w:bookmarkEnd w:id="16"/>
    <w:bookmarkStart w:name="z5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"26) межсетевой экран – аппаратно-программный или программный комплекс, функционирующий в информационно-коммуникационной инфраструктуре, осуществляющий контроль и фильтрацию сетевого трафика в соответствии с заданными правилами;</w:t>
      </w:r>
    </w:p>
    <w:bookmarkEnd w:id="17"/>
    <w:bookmarkStart w:name="z5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субъекты информатизации, определенные уполномоченным органом, – государственные органы, их подведомственные организации и органы местного самоуправления, а также иные субъекты информатизации, использующие единую транспортную среду государственных органов для взаимодействия локальных (за исключением локальных сетей, имеющих доступ к Интернету), ведомственных и корпоративных сетей.";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18) следующего содержания:</w:t>
      </w:r>
    </w:p>
    <w:bookmarkStart w:name="z5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"18) СИ – субъекты информатизации, определенные уполномоченным органом.";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"8. Информатизация ГО осуществляется в соответствии с архитектурой ГО, разрабатываемой и утверждаемой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статьями 23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а в случае ее отсутствия – на основании решения государственного органа о необходимости автоматизации, согласованного с уполномоченным органом в сфере информатизации (далее – уполномоченный орган).</w:t>
      </w:r>
    </w:p>
    <w:bookmarkEnd w:id="20"/>
    <w:bookmarkStart w:name="z5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Государственные органы обеспечивают публичное обсуждение планируемой автоматизации деятельности в целях привлечения потенциальных поставщиков, уточнения технико-экономических, эксплуатационных и иных характеристик объекта информатизации "электронного правительства".</w:t>
      </w:r>
    </w:p>
    <w:bookmarkEnd w:id="21"/>
    <w:bookmarkStart w:name="z5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Публичное обсуждение планируемой автоматизации деятельности осуществляется на архитектурном портале "электронного правительства" (далее – архитектурный портал).</w:t>
      </w:r>
    </w:p>
    <w:bookmarkEnd w:id="22"/>
    <w:bookmarkStart w:name="z5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для публичного обсуждения планируемой автоматизации должен составлять не менее десяти календарных дней с даты размещения на архитектурном портале.</w:t>
      </w:r>
    </w:p>
    <w:bookmarkEnd w:id="23"/>
    <w:bookmarkStart w:name="z6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Государственные органы рассматривают предложения, поступившие в рамках публичного обсуждения планируемой автоматизации, и принимают решения о принятии предложений либо их отклонении с указанием оснований для отклонения. </w:t>
      </w:r>
    </w:p>
    <w:bookmarkEnd w:id="24"/>
    <w:bookmarkStart w:name="z6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истечении срока публичного обсуждения планируемой автоматизации в соответствии с результатами рассмотрения поступивших предложений на архитектурном портале формируется и публикуется отчет о завершении публичного обсуждения планируемой автоматизации (далее – отчет).</w:t>
      </w:r>
    </w:p>
    <w:bookmarkEnd w:id="25"/>
    <w:bookmarkStart w:name="z6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является основанием для уточнения технико-экономических, эксплуатационных и иных характеристик объекта информатизации "электронного правительства", выбора механизма реализации автоматизации деятельности государственного органа.</w:t>
      </w:r>
    </w:p>
    <w:bookmarkEnd w:id="26"/>
    <w:bookmarkStart w:name="z6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орган направляет запрос о необходимости автоматизации деятельности (далее – запрос) с приложением отчета в уполномоченный орган на согласование.</w:t>
      </w:r>
    </w:p>
    <w:bookmarkEnd w:id="27"/>
    <w:bookmarkStart w:name="z6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для проведения анализа запроса государственного органа привлекает сервисного интегратора "электронного правительства" (далее – сервисный интегратор).</w:t>
      </w:r>
    </w:p>
    <w:bookmarkEnd w:id="28"/>
    <w:bookmarkStart w:name="z6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заключения сервисного интегратора уполномоченный орган согласовывает либо отказывает в согласовании автоматизации деятельности государственного органа.";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13 изложить в следующей редакции:</w:t>
      </w:r>
    </w:p>
    <w:bookmarkStart w:name="z6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закупа, с учетом заключения уполномоченного органа в сфере информатизации на представленные администраторами бюджетных программ расчетов расходов на государственные закупки товаров, работ и услуг в сфере информатизации;";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"17. Требования к унифицированному рабочему месту или терминальной системе ГО и МИО, а также компонентам объектов информационно-коммуникационной инфраструктуры утверждаются уполномоченным органом.";</w:t>
      </w:r>
    </w:p>
    <w:bookmarkEnd w:id="31"/>
    <w:bookmarkStart w:name="z7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17-1 следующего содержания:</w:t>
      </w:r>
    </w:p>
    <w:bookmarkEnd w:id="32"/>
    <w:bookmarkStart w:name="z7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"17-1. Обеспечивается соответствие рабочего места или терминальной системы ГО и МИО требованиям к унифицированному рабочему месту или терминальной системе ГО и МИО, утвержденным уполномоченным органом. </w:t>
      </w:r>
    </w:p>
    <w:bookmarkEnd w:id="33"/>
    <w:bookmarkStart w:name="z7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обновляются и актуализируются по мере необходимости.";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20 изложить в следующей редакции:</w:t>
      </w:r>
    </w:p>
    <w:bookmarkStart w:name="z7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 регулярной основе проводится учет рабочих станций с проверкой конфигурации, а также электронных носителей информации с уникальными идентифицирующими данными;";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29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"29. При организации, обеспечении и управлении ИБ в ГО, МИО или организации необходимо руководствоваться положениями стандарта Республики Казахстан СТ РК ISO/IEC 27002-2015 "Информационная технология. Методы и средства обеспечения безопасности. Свод правил по средствам управления защитой информации".</w:t>
      </w:r>
    </w:p>
    <w:bookmarkEnd w:id="36"/>
    <w:bookmarkStart w:name="z7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В целях разграничения ответственности и функций в сфере обеспечения ИБ создается подразделение ИБ, являющееся структурным подразделением, обособленным от других структурных подразделений, занимающихся вопросами создания, сопровождения и развития объектов информатизации, или определяется должностное лицо, ответственное за обеспечение ИБ.</w:t>
      </w:r>
    </w:p>
    <w:bookmarkEnd w:id="37"/>
    <w:bookmarkStart w:name="z7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Сотрудники, ответственные за обеспечение ИБ, проходят специализированные курсы в сфере обеспечения ИБ не реже одного раза в три года с выдачей сертификата.";</w:t>
      </w:r>
    </w:p>
    <w:bookmarkEnd w:id="38"/>
    <w:bookmarkStart w:name="z7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32-1 следующего содержания:</w:t>
      </w:r>
    </w:p>
    <w:bookmarkEnd w:id="39"/>
    <w:bookmarkStart w:name="z8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"32-1. Перечень внутренних документов финансовой организации, детализирующий требования политики ИБ, определяется в соответствии с нормативными правовыми актами уполномоченного органа по регулированию, контролю и надзору финансового рынка и финансовых организаций, регулирующими деятельность финансовых организаций по обеспечению информационной безопасности.";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37 изложить в следующей редакции:</w:t>
      </w:r>
    </w:p>
    <w:bookmarkStart w:name="z8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формирование каталога угроз (рисков) ИБ, включающего оценку (переоценку) идентифицированных рисков в соответствии с требованиями стандарта Республики Казахстан СТ РК ISO/IEC 27005-2013 "Информационные технологии. Методы обеспечения безопасности. Менеджмент риска информационной безопасности".";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"45. При инициировании создания или развития объектов информатизации первого и второго классов в соответствии с классификатором объектов информатизации, утвержденным уполномоченным органом в сфере информатизации в соответствии с подпунктом 11) статьи 7 Закона (далее – классификатор), а также конфиденциальных ИС разрабатываются профили защиты для составных компонентов и задание по безопасности в соответствии с требованиями стандарта Республики Казахстан СТ РК ISO/IEC 15408-2017 "Информационные технологии. Методы и средства обеспечения безопасности. Критерии оценки безопасности информационных технологий".";</w:t>
      </w:r>
    </w:p>
    <w:bookmarkEnd w:id="42"/>
    <w:bookmarkStart w:name="z8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50-1 следующего содержания:</w:t>
      </w:r>
    </w:p>
    <w:bookmarkEnd w:id="43"/>
    <w:bookmarkStart w:name="z8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"50-1. Собственники или владельцы негосударственных информационных систем, интегрируемых с информационными системами государственных органов, до интеграции с информационными системами государственных органов создают собственный оперативный центр информационной безопасности и обеспечивают его функционирование или приобретают услуги оперативного центра информационной безопасности у третьих лиц в соответствии с Гражданским кодексом Республики Казахстан, а также взаимодействие его с Национальным координационным центром информационной безопасности.</w:t>
      </w:r>
    </w:p>
    <w:bookmarkEnd w:id="44"/>
    <w:bookmarkStart w:name="z8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Собственники или владельцы критически важных объектов информационно-коммуникационной инфраструктуры, за исключением государственных органов, органов местного самоуправления, государственных юридических лиц, субъектов квазигосударственного сектора, в течение года со дня включения в перечень критически важных объектов информационно-коммуникационной инфраструктуры создают собственный оперативный центр информационной безопасности и обеспечивают его функционирование или приобретают услуги оперативного центра информационной безопасности у третьих лиц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Гражданским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а также обеспечивают взаимодействие его с Национальным координационным центром информационной безопасности.";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54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54-1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"54. На этапе опытной и промышленной эксплуатации объектов информатизации используются средства и системы:</w:t>
      </w:r>
    </w:p>
    <w:bookmarkEnd w:id="46"/>
    <w:bookmarkStart w:name="z9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обнаружения и предотвращения вредоносного кода;</w:t>
      </w:r>
    </w:p>
    <w:bookmarkEnd w:id="47"/>
    <w:bookmarkStart w:name="z9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мониторинга и управления инцидентами и событиями ИБ;</w:t>
      </w:r>
    </w:p>
    <w:bookmarkEnd w:id="48"/>
    <w:bookmarkStart w:name="z9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обнаружения и предотвращения вторжений;</w:t>
      </w:r>
    </w:p>
    <w:bookmarkEnd w:id="49"/>
    <w:bookmarkStart w:name="z9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мониторинга и управления информационной инфраструктурой.</w:t>
      </w:r>
    </w:p>
    <w:bookmarkEnd w:id="50"/>
    <w:bookmarkStart w:name="z9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54-1. Для защиты объектов информатизации допускается применение системы предотвращения утечки данных (DLP), в том числе отечественной разработки, соответствующих оценочным уровням доверия не ниже ОУД4, согласно СТ РК ISO/IEC 15408-2-2017 "Информационные технологии. Методы и средства обеспечения безопасности. Критерии оценки безопасности информационных технологий".</w:t>
      </w:r>
    </w:p>
    <w:bookmarkEnd w:id="51"/>
    <w:bookmarkStart w:name="z9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обеспечиваются:</w:t>
      </w:r>
    </w:p>
    <w:bookmarkEnd w:id="52"/>
    <w:bookmarkStart w:name="z9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визуальное уведомление пользователя о проводимом контроле действий;</w:t>
      </w:r>
    </w:p>
    <w:bookmarkEnd w:id="53"/>
    <w:bookmarkStart w:name="z9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получение письменного согласия пользователя на осуществление контроля его действий;</w:t>
      </w:r>
    </w:p>
    <w:bookmarkEnd w:id="54"/>
    <w:bookmarkStart w:name="z9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размещение центра управления и серверов системы предотвращения утечки данных в пределах локальной сети.";</w:t>
      </w:r>
    </w:p>
    <w:bookmarkEnd w:id="55"/>
    <w:bookmarkStart w:name="z9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56-1 следующего содержания:</w:t>
      </w:r>
    </w:p>
    <w:bookmarkEnd w:id="56"/>
    <w:bookmarkStart w:name="z10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"56-1. Владелец критически важных объектов информационно-коммуникационной инфраструктуры, обрабатывающий данные, содержащие охраняемую законом тайну, проводит аудит информационной безопасности не реже одного раз в год. Аудит информационной безопасности банков второго уровня проводится в соответствии с требованиями банковского законодательства Республики Казахстан.";</w:t>
      </w:r>
    </w:p>
    <w:bookmarkEnd w:id="57"/>
    <w:bookmarkStart w:name="z10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пунктами 62-1 и 62-2 следующего содержания:</w:t>
      </w:r>
    </w:p>
    <w:bookmarkEnd w:id="58"/>
    <w:bookmarkStart w:name="z10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"62-1. Интернет-ресурс с зарегистрированным доменным именем .KZ и (или) .ҚАЗ размещается на аппаратно-программном комплексе, который расположен на территории Республики Казахстан;</w:t>
      </w:r>
    </w:p>
    <w:bookmarkEnd w:id="59"/>
    <w:bookmarkStart w:name="z10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62-2. Использование доменных имен .KZ и (или) .ҚАЗ в пространстве казахстанского сегмента Интернета при передаче данных интернет-ресурсами осуществляется с применением сертификатов безопасности.";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"85. Опытная эксплуатация ИС ГО или МИО включает:</w:t>
      </w:r>
    </w:p>
    <w:bookmarkEnd w:id="61"/>
    <w:bookmarkStart w:name="z10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документирование процедур проведения опытной эксплуатации;</w:t>
      </w:r>
    </w:p>
    <w:bookmarkEnd w:id="62"/>
    <w:bookmarkStart w:name="z10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оптимизацию и устранение выявленных дефектов и недоработок с последующим их исправлением;</w:t>
      </w:r>
    </w:p>
    <w:bookmarkEnd w:id="63"/>
    <w:bookmarkStart w:name="z10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оформление акта о завершении опытной эксплуатации ИС;</w:t>
      </w:r>
    </w:p>
    <w:bookmarkEnd w:id="64"/>
    <w:bookmarkStart w:name="z10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проведения опытной эксплуатации не должен превышать один год.";</w:t>
      </w:r>
    </w:p>
    <w:bookmarkEnd w:id="65"/>
    <w:bookmarkStart w:name="z11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85-1 следующего содержания:</w:t>
      </w:r>
    </w:p>
    <w:bookmarkEnd w:id="66"/>
    <w:bookmarkStart w:name="z11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"85-1. Внедрение объекта информатизации "электронного правительства" осуществляется в соответствии с действующими на территории Республики Казахстан стандартами.";</w:t>
      </w:r>
    </w:p>
    <w:bookmarkEnd w:id="67"/>
    <w:bookmarkStart w:name="z11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92-3 следующего содержания:</w:t>
      </w:r>
    </w:p>
    <w:bookmarkEnd w:id="68"/>
    <w:bookmarkStart w:name="z11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"92-3. Собственники и владельцы информационных систем государственного органа создают собственный оперативный центр информационной безопасности и обеспечивают его функционирование или приобретают услуги оперативного центра информационной безопасности у третьих лиц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Гражданским кодексом</w:t>
      </w:r>
      <w:r>
        <w:rPr>
          <w:rFonts w:ascii="Times New Roman"/>
          <w:b w:val="false"/>
          <w:i w:val="false"/>
          <w:color w:val="000000"/>
          <w:sz w:val="28"/>
        </w:rPr>
        <w:t>, а также обеспечивают взаимодействие его с Национальным координационным центром информационной безопасности.";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"128. В целях обеспечения ИБ:</w:t>
      </w:r>
    </w:p>
    <w:bookmarkEnd w:id="70"/>
    <w:bookmarkStart w:name="z11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организации выделенного канала связи, объединяющего локальные сети, применяются программно-технические средства защиты информации, в том числе криптографического шифрования, с использованием СКЗИ;</w:t>
      </w:r>
    </w:p>
    <w:bookmarkEnd w:id="71"/>
    <w:bookmarkStart w:name="z11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выделенный канал связи подключается к локальной сети посредством пограничного шлюза с прописанными правилами маршрутизации и политиками безопасности. Пограничный шлюз обеспечивает следующий минимальный набор функций:</w:t>
      </w:r>
    </w:p>
    <w:bookmarkEnd w:id="72"/>
    <w:bookmarkStart w:name="z11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централизованную авторизацию узлов сети; </w:t>
      </w:r>
    </w:p>
    <w:bookmarkEnd w:id="73"/>
    <w:bookmarkStart w:name="z11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конфигурацию уровней привилегий администраторов;</w:t>
      </w:r>
    </w:p>
    <w:bookmarkEnd w:id="74"/>
    <w:bookmarkStart w:name="z12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протоколирование действий администраторов;</w:t>
      </w:r>
    </w:p>
    <w:bookmarkEnd w:id="75"/>
    <w:bookmarkStart w:name="z12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статическую трансляцию сетевых адресов;</w:t>
      </w:r>
    </w:p>
    <w:bookmarkEnd w:id="76"/>
    <w:bookmarkStart w:name="z12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защиту от сетевых атак;</w:t>
      </w:r>
    </w:p>
    <w:bookmarkEnd w:id="77"/>
    <w:bookmarkStart w:name="z12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 состояния физических и логических портов;</w:t>
      </w:r>
    </w:p>
    <w:bookmarkEnd w:id="78"/>
    <w:bookmarkStart w:name="z12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фильтрацию входящих и исходящих пакетов на каждом интерфейсе;</w:t>
      </w:r>
    </w:p>
    <w:bookmarkEnd w:id="79"/>
    <w:bookmarkStart w:name="z12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криптографическую защиту передаваемого трафика с использованием СКЗИ;</w:t>
      </w:r>
    </w:p>
    <w:bookmarkEnd w:id="80"/>
    <w:bookmarkStart w:name="z12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подключении ведомственной (корпоративной) сети телекоммуникаций и локальных сетей СИ между собой используются:</w:t>
      </w:r>
    </w:p>
    <w:bookmarkEnd w:id="81"/>
    <w:bookmarkStart w:name="z12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средства разделения и изоляции информационных потоков;</w:t>
      </w:r>
    </w:p>
    <w:bookmarkEnd w:id="82"/>
    <w:bookmarkStart w:name="z12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оборудование с компонентами, обеспечивающими ИБ и безопасное управление;</w:t>
      </w:r>
    </w:p>
    <w:bookmarkEnd w:id="83"/>
    <w:bookmarkStart w:name="z12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выделенные и интегрированные с оборудованием доступа межсетевые экраны, установленные в каждой точке подключения, с целью защиты периметра ЕТС ГО;</w:t>
      </w:r>
    </w:p>
    <w:bookmarkEnd w:id="84"/>
    <w:bookmarkStart w:name="z13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подключении ведомственной (корпоративной) сети телекоммуникаций и локальных сетей к Интернету через ЕШДИ ГО, МИО, государственные юридические лица, субъекты квазигосударственного сектора, а также владельцы критически важных объектов ИКИ используют услуги оператора ИКИ или другого оператора связи, имеющего зарезервированные каналы связи на оборудовании ЕШДИ.</w:t>
      </w:r>
    </w:p>
    <w:bookmarkEnd w:id="85"/>
    <w:bookmarkStart w:name="z13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Подключение ведомственной (корпоративной) сети телекоммуникаций и локальных сетей к Интернету через ЕШДИ осуществляется в соответствии с правилами функционирования единого шлюза доступа к Интернету, утвержденными уполномоченным органом в сфере обеспечения информационной безопасности.</w:t>
      </w:r>
    </w:p>
    <w:bookmarkEnd w:id="86"/>
    <w:bookmarkStart w:name="z13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служащие ГО, МИО и работники государственных юридических лиц, субъектов квазигосударственного сектора, а также владельцев критически важных объектов ИКИ для осуществления оперативного информационного обмена (служебной переписки) в электронной форме при исполнении ими служебных обязанностей используют:</w:t>
      </w:r>
    </w:p>
    <w:bookmarkEnd w:id="87"/>
    <w:bookmarkStart w:name="z13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ведомственную электронную почту, службу мгновенных сообщений и иные сервисы;</w:t>
      </w:r>
    </w:p>
    <w:bookmarkEnd w:id="88"/>
    <w:bookmarkStart w:name="z13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электронную почту, службу мгновенных сообщений и иные сервисы, центры управления и сервера которых физически размещены на территории Республики Казахстан, если иное не установлено уполномоченным органом;</w:t>
      </w:r>
    </w:p>
    <w:bookmarkEnd w:id="89"/>
    <w:bookmarkStart w:name="z13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взаимодействие ведомственной электронной почты ГО и МИО с внешними электронными почтовыми системами осуществляется только через единый шлюз электронной почты;</w:t>
      </w:r>
    </w:p>
    <w:bookmarkEnd w:id="90"/>
    <w:bookmarkStart w:name="z13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служащие ГО, МИО и работники государственных юридических лиц, субъектов квазигосударственного сектора, а также владельцев критически важных объектов ИКИ осуществляют доступ к ИР из ЛС внешнего конура только через ЕШДИ с использованием веб-обозревателя, являющегося СПО и соответствующего требованиям правил функционирования ЕШДИ, утвержденных уполномоченным органом в сфере обеспечения информационной безопасности.";</w:t>
      </w:r>
    </w:p>
    <w:bookmarkEnd w:id="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"129. Подключение СИ к ЕТС ГО осуществляется в соответствии с правилами подключения к ЕТС ГО и предоставления доступа к интернет-ресурсу через ЕТС ГО, определяемыми уполномоченным органом.";</w:t>
      </w:r>
    </w:p>
    <w:bookmarkEnd w:id="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"131. Не допускается подключение к ЕТС ГО, локальной сети СИ, а также техническим средствам, входящим в состав ЕТС ГО, локальной сети СИ, устройств для организации удаленного доступа посредством беспроводных сетей, беспроводного доступа, модемов, радиомодемов, модемов сетей операторов сотовой связи, абонентских устройств сотовой связи и других беспроводных сетевых устройств, за исключением организованных оператором ИКИ ЭП беспроводных каналов связи ЕТС ГО, с использованием СКЗИ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ЕТ.";</w:t>
      </w:r>
    </w:p>
    <w:bookmarkEnd w:id="93"/>
    <w:bookmarkStart w:name="z14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131-1 следующего содержания:</w:t>
      </w:r>
    </w:p>
    <w:bookmarkEnd w:id="94"/>
    <w:bookmarkStart w:name="z14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"131-1. Необходимо осуществлять контроль подключения абонентских устройств сотовой связи, модемов сетей операторов сотовой связи, а также электронных носителей информации, не разрешенных политикой ИБ, принятой в ГО или МИО.";</w:t>
      </w:r>
    </w:p>
    <w:bookmarkEnd w:id="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"132. Оператор ИКИ ЭП по заявкам СИ осуществляет:</w:t>
      </w:r>
    </w:p>
    <w:bookmarkEnd w:id="96"/>
    <w:bookmarkStart w:name="z14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распределение, регистрацию и перерегистрацию IP-адресов локальных сетей СИ, подключенных к ЕТС ГО, по заявкам СИ;</w:t>
      </w:r>
    </w:p>
    <w:bookmarkEnd w:id="97"/>
    <w:bookmarkStart w:name="z14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регистрацию доменных имен в доменных зонах Интернета gov.kz и мем.қаз по заявкам СИ;</w:t>
      </w:r>
    </w:p>
    <w:bookmarkEnd w:id="98"/>
    <w:bookmarkStart w:name="z14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регистрацию доменных имен в сети ЕТС ГО по заявкам СИ;</w:t>
      </w:r>
    </w:p>
    <w:bookmarkEnd w:id="99"/>
    <w:bookmarkStart w:name="z14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предоставление сервиса DNS в сети ЕТС ГО.";</w:t>
      </w:r>
    </w:p>
    <w:bookmarkEnd w:id="1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133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4) следующего содержания:</w:t>
      </w:r>
    </w:p>
    <w:bookmarkStart w:name="z15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направляют в государственную техническую службу, в случае производственной необходимости организации VPN-каналов, техническую информацию по требуемым VPN-каналам (IP-адреса источника и назначения, порты, протокол), согласованную с уполномоченным органом в сфере обеспечения информационной безопасности.";</w:t>
      </w:r>
    </w:p>
    <w:bookmarkEnd w:id="101"/>
    <w:bookmarkStart w:name="z15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133-1 следующего содержания:</w:t>
      </w:r>
    </w:p>
    <w:bookmarkEnd w:id="102"/>
    <w:bookmarkStart w:name="z15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"133-1. Не допускаются установка и применение на объектах информатизации, размещенных в ЛС внешнего контура ГО или МИО, программных или технических средств для удаленного управления ими извне ЛС внешнего контура ГО или МИО.";</w:t>
      </w:r>
    </w:p>
    <w:bookmarkEnd w:id="1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134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15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пунктами 134-1 и 134-2 следующего содержания:</w:t>
      </w:r>
    </w:p>
    <w:bookmarkEnd w:id="104"/>
    <w:bookmarkStart w:name="z15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"134-1. Государственная техническая служба применяет на оборудовании ЕШДИ политику блокировки следующих категорий ИР и ПО (по умолчанию):</w:t>
      </w:r>
    </w:p>
    <w:bookmarkEnd w:id="105"/>
    <w:bookmarkStart w:name="z15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VPN;</w:t>
      </w:r>
    </w:p>
    <w:bookmarkEnd w:id="106"/>
    <w:bookmarkStart w:name="z15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удаленный доступ;</w:t>
      </w:r>
    </w:p>
    <w:bookmarkEnd w:id="107"/>
    <w:bookmarkStart w:name="z15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p2p;</w:t>
      </w:r>
    </w:p>
    <w:bookmarkEnd w:id="108"/>
    <w:bookmarkStart w:name="z15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игровые ресурсы;</w:t>
      </w:r>
    </w:p>
    <w:bookmarkEnd w:id="109"/>
    <w:bookmarkStart w:name="z16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неизвестные приложения, не входящие по умолчанию в перечень категорий ИР и ПО;</w:t>
      </w:r>
    </w:p>
    <w:bookmarkEnd w:id="110"/>
    <w:bookmarkStart w:name="z16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вредоносные ИР и ПО.</w:t>
      </w:r>
    </w:p>
    <w:bookmarkEnd w:id="111"/>
    <w:bookmarkStart w:name="z16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134-2. Возможность разблокировки отдельных категорий ИР и ПО, указанных в пункте 134-1, рассматривается государственной технической службой на основании официального запроса, поступившего от ГО, МИО, государственных организаций, субъектов квазигосударственного сектора, а также владельцев критически важных объектов ИКИ.";</w:t>
      </w:r>
    </w:p>
    <w:bookmarkEnd w:id="1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"139. Для обеспечения ИБ:</w:t>
      </w:r>
    </w:p>
    <w:bookmarkEnd w:id="113"/>
    <w:bookmarkStart w:name="z16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неиспользуемые порты кабельной системы локальной сети физически отключаются от активного оборудования;</w:t>
      </w:r>
    </w:p>
    <w:bookmarkEnd w:id="114"/>
    <w:bookmarkStart w:name="z16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разрабатывается и утверждается ТД ИБ, включающая правила:</w:t>
      </w:r>
    </w:p>
    <w:bookmarkEnd w:id="115"/>
    <w:bookmarkStart w:name="z16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использования сетей и сетевых услуг;</w:t>
      </w:r>
    </w:p>
    <w:bookmarkEnd w:id="116"/>
    <w:bookmarkStart w:name="z16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подключения к международным (территориальным) сетям передачи данных;</w:t>
      </w:r>
    </w:p>
    <w:bookmarkEnd w:id="117"/>
    <w:bookmarkStart w:name="z16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подключения к Интернету и (или) сетям телекоммуникаций, сетям связи, имеющим выход в международные (территориальные) сети передачи данных;</w:t>
      </w:r>
    </w:p>
    <w:bookmarkEnd w:id="118"/>
    <w:bookmarkStart w:name="z17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использования беспроводного доступа к сетевым ресурсам;</w:t>
      </w:r>
    </w:p>
    <w:bookmarkEnd w:id="119"/>
    <w:bookmarkStart w:name="z17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служебная информация ограниченного распространения, информация конфиденциальных ИС, конфиденциальных ЭИР и ЭИР, содержащих персональные данные ограниченного доступа, не передается по незащищенным проводным каналам связи и радиоканалам, не оборудованным соответствующими СКЗИ.</w:t>
      </w:r>
    </w:p>
    <w:bookmarkEnd w:id="120"/>
    <w:bookmarkStart w:name="z17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Передача служебной информации ограниченного распространения производится с соблюдением специальных требований по защите информации ограниченного распространения в соответствии с Правилами отнесения сведений к служебной информации ограниченного распространения и работы с ней, установленными Правительством Республики Казахстан.</w:t>
      </w:r>
    </w:p>
    <w:bookmarkEnd w:id="121"/>
    <w:bookmarkStart w:name="z17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применяются средства:</w:t>
      </w:r>
    </w:p>
    <w:bookmarkEnd w:id="122"/>
    <w:bookmarkStart w:name="z17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идентификации, аутентификации и управления доступом пользователей;</w:t>
      </w:r>
    </w:p>
    <w:bookmarkEnd w:id="123"/>
    <w:bookmarkStart w:name="z17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идентификации оборудования;</w:t>
      </w:r>
    </w:p>
    <w:bookmarkEnd w:id="124"/>
    <w:bookmarkStart w:name="z17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защиты диагностических и конфигурационных портов;</w:t>
      </w:r>
    </w:p>
    <w:bookmarkEnd w:id="125"/>
    <w:bookmarkStart w:name="z17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физического сегментирования локальной сети;</w:t>
      </w:r>
    </w:p>
    <w:bookmarkEnd w:id="126"/>
    <w:bookmarkStart w:name="z178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логического сегментирования локальной сети;</w:t>
      </w:r>
    </w:p>
    <w:bookmarkEnd w:id="127"/>
    <w:bookmarkStart w:name="z179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управления сетевыми соединениями; </w:t>
      </w:r>
    </w:p>
    <w:bookmarkEnd w:id="128"/>
    <w:bookmarkStart w:name="z18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межсетевого экранирования;</w:t>
      </w:r>
    </w:p>
    <w:bookmarkEnd w:id="129"/>
    <w:bookmarkStart w:name="z181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сокрытия внутреннего адресного пространства локальной сети;</w:t>
      </w:r>
    </w:p>
    <w:bookmarkEnd w:id="130"/>
    <w:bookmarkStart w:name="z182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контроля целостности данных, сообщений и конфигураций;</w:t>
      </w:r>
    </w:p>
    <w:bookmarkEnd w:id="131"/>
    <w:bookmarkStart w:name="z183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криптографической защиты информации в соответствии с пунктом 48 настоящих ЕТ;</w:t>
      </w:r>
    </w:p>
    <w:bookmarkEnd w:id="132"/>
    <w:bookmarkStart w:name="z184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физической защиты каналов передачи данных и сетевого оборудования;</w:t>
      </w:r>
    </w:p>
    <w:bookmarkEnd w:id="133"/>
    <w:bookmarkStart w:name="z18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регистрации событий ИБ;</w:t>
      </w:r>
    </w:p>
    <w:bookmarkEnd w:id="134"/>
    <w:bookmarkStart w:name="z18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мониторинга и анализа сетевого трафика;</w:t>
      </w:r>
    </w:p>
    <w:bookmarkEnd w:id="135"/>
    <w:bookmarkStart w:name="z18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управления сетью;</w:t>
      </w:r>
    </w:p>
    <w:bookmarkEnd w:id="136"/>
    <w:bookmarkStart w:name="z188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осуществляется взаимодействие локальных сетей ГО, а также МИО между собой только через ЕТС ГО, за исключением сетей телекоммуникаций специального назначения и/или правительственной, засекреченной, шифрованной и кодированной связи;</w:t>
      </w:r>
    </w:p>
    <w:bookmarkEnd w:id="137"/>
    <w:bookmarkStart w:name="z189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осуществляется взаимодействие локальных сетей центрального исполнительного государственного органа и его территориальных подразделений между собой только через ЕТС ГО, за исключением сетей телекоммуникаций специального назначения и/или правительственной, засекреченной, шифрованной и кодированной связи;</w:t>
      </w:r>
    </w:p>
    <w:bookmarkEnd w:id="138"/>
    <w:bookmarkStart w:name="z190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исключаются сопряжения ЛС внутреннего контура и ЛС внешнего контура СИ между собой, за исключением организованных каналов связи с использованием СКЗИ,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ЕТ для учреждений Республики Казахстан, находящихся за границей;</w:t>
      </w:r>
    </w:p>
    <w:bookmarkEnd w:id="139"/>
    <w:bookmarkStart w:name="z191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исключается подключение ЛС внутреннего контура СИ к Интернету;</w:t>
      </w:r>
    </w:p>
    <w:bookmarkEnd w:id="140"/>
    <w:bookmarkStart w:name="z192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осуществляется соединение ЛС внешнего контура СИ с Интернетом только через ЕШДИ. Подключение к Интернету иным способом не допускается, за исключением специальных и правоохранительных ГО в оперативных целях. Взаимодействие ВШЭП с Интернетом осуществляется через ЕШДИ.</w:t>
      </w:r>
    </w:p>
    <w:bookmarkEnd w:id="141"/>
    <w:bookmarkStart w:name="z193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размещаются ИС СИ, реализующие информационное взаимодействие через Интернет, в выделенном сегменте ЛС внешнего контура СИ, и осуществляется взаимодействие с ИС СИ, размещенными в ЛС внутреннего контура СИ, через ВШЭП;</w:t>
      </w:r>
    </w:p>
    <w:bookmarkEnd w:id="142"/>
    <w:bookmarkStart w:name="z194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осуществляется информационное взаимодействие ИС, размещенных в Интернете, с ИС СИ, размещенными в ЛС внутреннего контура СИ, только через ВШЭП;</w:t>
      </w:r>
    </w:p>
    <w:bookmarkEnd w:id="143"/>
    <w:bookmarkStart w:name="z195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сервера инфраструктуры источника времени верхнего уровня синхронизируются с эталоном времени и частоты, воспроизводящим национальную шкалу всемирного координированного времени UTC(kz).</w:t>
      </w:r>
    </w:p>
    <w:bookmarkEnd w:id="144"/>
    <w:bookmarkStart w:name="z196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Сервера инфраструктуры точного времени синхронизируются с сервером инфраструктуры точного времени верхнего уровня.</w:t>
      </w:r>
    </w:p>
    <w:bookmarkEnd w:id="145"/>
    <w:bookmarkStart w:name="z197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Сервера инфраструктуры точного времени предоставляют доступ клиентам для синхронизации времени.</w:t>
      </w:r>
    </w:p>
    <w:bookmarkEnd w:id="146"/>
    <w:bookmarkStart w:name="z198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отключаются открытые неиспользуемые сетевые порты.".</w:t>
      </w:r>
    </w:p>
    <w:bookmarkEnd w:id="1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5. Утратил силу постановлением Правительства РК от 09.10.2025 </w:t>
      </w:r>
      <w:r>
        <w:rPr>
          <w:rFonts w:ascii="Times New Roman"/>
          <w:b w:val="false"/>
          <w:i w:val="false"/>
          <w:color w:val="000000"/>
          <w:sz w:val="28"/>
        </w:rPr>
        <w:t>№ 846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изменениям и дополнениям,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в некоторые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решения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269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утратило силу постановлением Правительства РК от 13.07.2023 </w:t>
      </w:r>
      <w:r>
        <w:rPr>
          <w:rFonts w:ascii="Times New Roman"/>
          <w:b w:val="false"/>
          <w:i w:val="false"/>
          <w:color w:val="ff0000"/>
          <w:sz w:val="28"/>
        </w:rPr>
        <w:t>№ 559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End w:id="1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изменениям и дополнениям,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в некоторые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решения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утратило силу постановлением Правительства РК от 13.07.2023 </w:t>
      </w:r>
      <w:r>
        <w:rPr>
          <w:rFonts w:ascii="Times New Roman"/>
          <w:b w:val="false"/>
          <w:i w:val="false"/>
          <w:color w:val="ff0000"/>
          <w:sz w:val="28"/>
        </w:rPr>
        <w:t>№ 559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