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0c50" w14:textId="6f4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апреля 2015 года № 203 "Об утверждении Стратегии развития акционерного общества "Национальная компания "Астана ЭКСПО-2017" на 2015 – 2024 годы"</w:t>
      </w:r>
    </w:p>
    <w:p>
      <w:pPr>
        <w:spacing w:after="0"/>
        <w:ind w:left="0"/>
        <w:jc w:val="both"/>
      </w:pPr>
      <w:r>
        <w:rPr>
          <w:rFonts w:ascii="Times New Roman"/>
          <w:b w:val="false"/>
          <w:i w:val="false"/>
          <w:color w:val="000000"/>
          <w:sz w:val="28"/>
        </w:rPr>
        <w:t>Постановление Правительства Республики Казахстан от 4 июня 2020 года № 354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2015 года № 203 "Об утверждении Стратегии развития акционерного общества "Национальная компания "Астана ЭКСПО-2017" на 2015 – 2024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Стратегии развития акционерного общества "Национальная компания "QazExpoCongress" на 2015 – 2024 годы";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прилагаемую Стратегию развития акционерного общества "Национальная компания "QazExpoCongress" на 2015 – 2024 годы";</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w:t>
      </w:r>
      <w:r>
        <w:rPr>
          <w:rFonts w:ascii="Times New Roman"/>
          <w:b w:val="false"/>
          <w:i w:val="false"/>
          <w:color w:val="000000"/>
          <w:sz w:val="28"/>
        </w:rPr>
        <w:t xml:space="preserve"> развития акционерного общества "Национальная компания "Астана ЭКСПО-2017" на 2015 – 2024 годы", утвержденной указанным постановлением:</w:t>
      </w:r>
    </w:p>
    <w:bookmarkEnd w:id="5"/>
    <w:bookmarkStart w:name="z10"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1" w:id="7"/>
    <w:p>
      <w:pPr>
        <w:spacing w:after="0"/>
        <w:ind w:left="0"/>
        <w:jc w:val="both"/>
      </w:pPr>
      <w:r>
        <w:rPr>
          <w:rFonts w:ascii="Times New Roman"/>
          <w:b w:val="false"/>
          <w:i w:val="false"/>
          <w:color w:val="000000"/>
          <w:sz w:val="28"/>
        </w:rPr>
        <w:t>
      "Стратегия развития акционерного общества "Национальная компания "QazExpoCongress" на 2015 – 2024 годы";</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"Анализ текущего состояния компании":</w:t>
      </w:r>
    </w:p>
    <w:bookmarkEnd w:id="8"/>
    <w:bookmarkStart w:name="z13" w:id="9"/>
    <w:p>
      <w:pPr>
        <w:spacing w:after="0"/>
        <w:ind w:left="0"/>
        <w:jc w:val="both"/>
      </w:pPr>
      <w:r>
        <w:rPr>
          <w:rFonts w:ascii="Times New Roman"/>
          <w:b w:val="false"/>
          <w:i w:val="false"/>
          <w:color w:val="000000"/>
          <w:sz w:val="28"/>
        </w:rPr>
        <w:t>
      часть первую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"Акционерное общество "Национальная компания "QazExpoCongress" (далее – Общество)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января 2013 года № 11 "О создании акционерного общества "Национальная компания "Астана ЭКСПО-2017".";</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"Миссия и видение":</w:t>
      </w:r>
    </w:p>
    <w:bookmarkEnd w:id="11"/>
    <w:bookmarkStart w:name="z16" w:id="12"/>
    <w:p>
      <w:pPr>
        <w:spacing w:after="0"/>
        <w:ind w:left="0"/>
        <w:jc w:val="both"/>
      </w:pPr>
      <w:r>
        <w:rPr>
          <w:rFonts w:ascii="Times New Roman"/>
          <w:b w:val="false"/>
          <w:i w:val="false"/>
          <w:color w:val="000000"/>
          <w:sz w:val="28"/>
        </w:rPr>
        <w:t>
      подраздел "Миссия" изложить в следующей редакции:</w:t>
      </w:r>
    </w:p>
    <w:bookmarkEnd w:id="12"/>
    <w:bookmarkStart w:name="z17" w:id="13"/>
    <w:p>
      <w:pPr>
        <w:spacing w:after="0"/>
        <w:ind w:left="0"/>
        <w:jc w:val="both"/>
      </w:pPr>
      <w:r>
        <w:rPr>
          <w:rFonts w:ascii="Times New Roman"/>
          <w:b w:val="false"/>
          <w:i w:val="false"/>
          <w:color w:val="000000"/>
          <w:sz w:val="28"/>
        </w:rPr>
        <w:t>
      "Миссия.</w:t>
      </w:r>
    </w:p>
    <w:bookmarkEnd w:id="13"/>
    <w:bookmarkStart w:name="z18" w:id="14"/>
    <w:p>
      <w:pPr>
        <w:spacing w:after="0"/>
        <w:ind w:left="0"/>
        <w:jc w:val="both"/>
      </w:pPr>
      <w:r>
        <w:rPr>
          <w:rFonts w:ascii="Times New Roman"/>
          <w:b w:val="false"/>
          <w:i w:val="false"/>
          <w:color w:val="000000"/>
          <w:sz w:val="28"/>
        </w:rPr>
        <w:t>
      Создать современное деловое пространство, продвигающее передовые практики в сфере финансовой, образовательной, конгрессно-выставочной, инновационной деятельности и развитие торговой инфраструктуры в Казахстане.";</w:t>
      </w:r>
    </w:p>
    <w:bookmarkEnd w:id="14"/>
    <w:bookmarkStart w:name="z19" w:id="15"/>
    <w:p>
      <w:pPr>
        <w:spacing w:after="0"/>
        <w:ind w:left="0"/>
        <w:jc w:val="both"/>
      </w:pPr>
      <w:r>
        <w:rPr>
          <w:rFonts w:ascii="Times New Roman"/>
          <w:b w:val="false"/>
          <w:i w:val="false"/>
          <w:color w:val="000000"/>
          <w:sz w:val="28"/>
        </w:rPr>
        <w:t>
      подраздел "Видение" изложить в следующей редакции:</w:t>
      </w:r>
    </w:p>
    <w:bookmarkEnd w:id="15"/>
    <w:bookmarkStart w:name="z20" w:id="16"/>
    <w:p>
      <w:pPr>
        <w:spacing w:after="0"/>
        <w:ind w:left="0"/>
        <w:jc w:val="both"/>
      </w:pPr>
      <w:r>
        <w:rPr>
          <w:rFonts w:ascii="Times New Roman"/>
          <w:b w:val="false"/>
          <w:i w:val="false"/>
          <w:color w:val="000000"/>
          <w:sz w:val="28"/>
        </w:rPr>
        <w:t>
      "Видение.</w:t>
      </w:r>
    </w:p>
    <w:bookmarkEnd w:id="16"/>
    <w:bookmarkStart w:name="z21" w:id="17"/>
    <w:p>
      <w:pPr>
        <w:spacing w:after="0"/>
        <w:ind w:left="0"/>
        <w:jc w:val="both"/>
      </w:pPr>
      <w:r>
        <w:rPr>
          <w:rFonts w:ascii="Times New Roman"/>
          <w:b w:val="false"/>
          <w:i w:val="false"/>
          <w:color w:val="000000"/>
          <w:sz w:val="28"/>
        </w:rPr>
        <w:t>
      Клиентоориентированная организация с гибкой системой управления, предоставляющая необходимую инфраструктуру и услуги для обеспечения успешного развития товаропроводящей системы и бизнеса.";</w:t>
      </w:r>
    </w:p>
    <w:bookmarkEnd w:id="17"/>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деятельности, цели, ключевые показатели деятельности и их ожидаемые результаты":</w:t>
      </w:r>
    </w:p>
    <w:bookmarkEnd w:id="18"/>
    <w:bookmarkStart w:name="z23" w:id="19"/>
    <w:p>
      <w:pPr>
        <w:spacing w:after="0"/>
        <w:ind w:left="0"/>
        <w:jc w:val="both"/>
      </w:pPr>
      <w:r>
        <w:rPr>
          <w:rFonts w:ascii="Times New Roman"/>
          <w:b w:val="false"/>
          <w:i w:val="false"/>
          <w:color w:val="000000"/>
          <w:sz w:val="28"/>
        </w:rPr>
        <w:t>
      часть первую изложить в следующей редакции:</w:t>
      </w:r>
    </w:p>
    <w:bookmarkEnd w:id="19"/>
    <w:bookmarkStart w:name="z24" w:id="20"/>
    <w:p>
      <w:pPr>
        <w:spacing w:after="0"/>
        <w:ind w:left="0"/>
        <w:jc w:val="both"/>
      </w:pPr>
      <w:r>
        <w:rPr>
          <w:rFonts w:ascii="Times New Roman"/>
          <w:b w:val="false"/>
          <w:i w:val="false"/>
          <w:color w:val="000000"/>
          <w:sz w:val="28"/>
        </w:rPr>
        <w:t>
      "Исходя из миссии и видения, с учетом проведенного анализа внешней и внутренней среды, выделены следующие шесть стратегических направлений развития Общества:</w:t>
      </w:r>
    </w:p>
    <w:bookmarkEnd w:id="20"/>
    <w:bookmarkStart w:name="z25" w:id="21"/>
    <w:p>
      <w:pPr>
        <w:spacing w:after="0"/>
        <w:ind w:left="0"/>
        <w:jc w:val="both"/>
      </w:pPr>
      <w:r>
        <w:rPr>
          <w:rFonts w:ascii="Times New Roman"/>
          <w:b w:val="false"/>
          <w:i w:val="false"/>
          <w:color w:val="000000"/>
          <w:sz w:val="28"/>
        </w:rPr>
        <w:t>
      1) управление объектами и имуществом, включая коммерциализацию сервисных услуг;</w:t>
      </w:r>
    </w:p>
    <w:bookmarkEnd w:id="21"/>
    <w:bookmarkStart w:name="z26" w:id="22"/>
    <w:p>
      <w:pPr>
        <w:spacing w:after="0"/>
        <w:ind w:left="0"/>
        <w:jc w:val="both"/>
      </w:pPr>
      <w:r>
        <w:rPr>
          <w:rFonts w:ascii="Times New Roman"/>
          <w:b w:val="false"/>
          <w:i w:val="false"/>
          <w:color w:val="000000"/>
          <w:sz w:val="28"/>
        </w:rPr>
        <w:t>
      2) проведение КВМ и участие в международных мероприятиях;</w:t>
      </w:r>
    </w:p>
    <w:bookmarkEnd w:id="22"/>
    <w:bookmarkStart w:name="z27" w:id="23"/>
    <w:p>
      <w:pPr>
        <w:spacing w:after="0"/>
        <w:ind w:left="0"/>
        <w:jc w:val="both"/>
      </w:pPr>
      <w:r>
        <w:rPr>
          <w:rFonts w:ascii="Times New Roman"/>
          <w:b w:val="false"/>
          <w:i w:val="false"/>
          <w:color w:val="000000"/>
          <w:sz w:val="28"/>
        </w:rPr>
        <w:t>
      3) обеспечение функционирования сферы "Нур-Алем", как символа нового делового центра и точки притяжения туристов;</w:t>
      </w:r>
    </w:p>
    <w:bookmarkEnd w:id="23"/>
    <w:bookmarkStart w:name="z28" w:id="24"/>
    <w:p>
      <w:pPr>
        <w:spacing w:after="0"/>
        <w:ind w:left="0"/>
        <w:jc w:val="both"/>
      </w:pPr>
      <w:r>
        <w:rPr>
          <w:rFonts w:ascii="Times New Roman"/>
          <w:b w:val="false"/>
          <w:i w:val="false"/>
          <w:color w:val="000000"/>
          <w:sz w:val="28"/>
        </w:rPr>
        <w:t>
      4) реализация инвестиционных проектов;</w:t>
      </w:r>
    </w:p>
    <w:bookmarkEnd w:id="24"/>
    <w:bookmarkStart w:name="z29" w:id="25"/>
    <w:p>
      <w:pPr>
        <w:spacing w:after="0"/>
        <w:ind w:left="0"/>
        <w:jc w:val="both"/>
      </w:pPr>
      <w:r>
        <w:rPr>
          <w:rFonts w:ascii="Times New Roman"/>
          <w:b w:val="false"/>
          <w:i w:val="false"/>
          <w:color w:val="000000"/>
          <w:sz w:val="28"/>
        </w:rPr>
        <w:t>
      5) устойчивое развитие Общества;</w:t>
      </w:r>
    </w:p>
    <w:bookmarkEnd w:id="25"/>
    <w:bookmarkStart w:name="z30" w:id="26"/>
    <w:p>
      <w:pPr>
        <w:spacing w:after="0"/>
        <w:ind w:left="0"/>
        <w:jc w:val="both"/>
      </w:pPr>
      <w:r>
        <w:rPr>
          <w:rFonts w:ascii="Times New Roman"/>
          <w:b w:val="false"/>
          <w:i w:val="false"/>
          <w:color w:val="000000"/>
          <w:sz w:val="28"/>
        </w:rPr>
        <w:t xml:space="preserve">
      6) строительство и управление оптово-распределительными центрами (далее – ОРЦ). </w:t>
      </w:r>
    </w:p>
    <w:bookmarkEnd w:id="26"/>
    <w:bookmarkStart w:name="z31" w:id="27"/>
    <w:p>
      <w:pPr>
        <w:spacing w:after="0"/>
        <w:ind w:left="0"/>
        <w:jc w:val="both"/>
      </w:pPr>
      <w:r>
        <w:rPr>
          <w:rFonts w:ascii="Times New Roman"/>
          <w:b w:val="false"/>
          <w:i w:val="false"/>
          <w:color w:val="000000"/>
          <w:sz w:val="28"/>
        </w:rPr>
        <w:t>
      Сфера "Нур-Алем" – важнейший объект наследия Выставки и хорошо узнаваемый символ нового делового центра города Нур-Султана. Его успешное функционирование является одним из приоритетов развития Общества.</w:t>
      </w:r>
    </w:p>
    <w:bookmarkEnd w:id="27"/>
    <w:bookmarkStart w:name="z32" w:id="28"/>
    <w:p>
      <w:pPr>
        <w:spacing w:after="0"/>
        <w:ind w:left="0"/>
        <w:jc w:val="both"/>
      </w:pPr>
      <w:r>
        <w:rPr>
          <w:rFonts w:ascii="Times New Roman"/>
          <w:b w:val="false"/>
          <w:i w:val="false"/>
          <w:color w:val="000000"/>
          <w:sz w:val="28"/>
        </w:rPr>
        <w:t>
      Управление объектами и имуществом – естественное ключевое направление деятельности, напрямую вытекающее из характера основных активов Общества и одобренной концепции послевыставочного использования объектов ЭКСПО-2017.</w:t>
      </w:r>
    </w:p>
    <w:bookmarkEnd w:id="28"/>
    <w:bookmarkStart w:name="z33" w:id="29"/>
    <w:p>
      <w:pPr>
        <w:spacing w:after="0"/>
        <w:ind w:left="0"/>
        <w:jc w:val="both"/>
      </w:pPr>
      <w:r>
        <w:rPr>
          <w:rFonts w:ascii="Times New Roman"/>
          <w:b w:val="false"/>
          <w:i w:val="false"/>
          <w:color w:val="000000"/>
          <w:sz w:val="28"/>
        </w:rPr>
        <w:t>
      Проведение КВМ и участие в международных мероприятиях позволит эффективно использовать как имеющуюся инфраструктуру, так и накопленный опыт сотрудников Общества на благо развития делового центра города Нур-Султана и экономики Казахстана в целом.</w:t>
      </w:r>
    </w:p>
    <w:bookmarkEnd w:id="29"/>
    <w:bookmarkStart w:name="z34" w:id="30"/>
    <w:p>
      <w:pPr>
        <w:spacing w:after="0"/>
        <w:ind w:left="0"/>
        <w:jc w:val="both"/>
      </w:pPr>
      <w:r>
        <w:rPr>
          <w:rFonts w:ascii="Times New Roman"/>
          <w:b w:val="false"/>
          <w:i w:val="false"/>
          <w:color w:val="000000"/>
          <w:sz w:val="28"/>
        </w:rPr>
        <w:t>
      Реализация инвестиционных проектов – направление, которое позволит в полной мере реализовать потенциал имеющихся земельных активов Общества.</w:t>
      </w:r>
    </w:p>
    <w:bookmarkEnd w:id="30"/>
    <w:bookmarkStart w:name="z35" w:id="31"/>
    <w:p>
      <w:pPr>
        <w:spacing w:after="0"/>
        <w:ind w:left="0"/>
        <w:jc w:val="both"/>
      </w:pPr>
      <w:r>
        <w:rPr>
          <w:rFonts w:ascii="Times New Roman"/>
          <w:b w:val="false"/>
          <w:i w:val="false"/>
          <w:color w:val="000000"/>
          <w:sz w:val="28"/>
        </w:rPr>
        <w:t>
      Устойчивое развитие позволит Обществу внедрить принципы ответственного ведения бизнеса и повысить инновационный потенциал, содействовать экономическому росту и обеспечить экологическое, а также социальное благополучие в Обществе.</w:t>
      </w:r>
    </w:p>
    <w:bookmarkEnd w:id="31"/>
    <w:bookmarkStart w:name="z36" w:id="32"/>
    <w:p>
      <w:pPr>
        <w:spacing w:after="0"/>
        <w:ind w:left="0"/>
        <w:jc w:val="both"/>
      </w:pPr>
      <w:r>
        <w:rPr>
          <w:rFonts w:ascii="Times New Roman"/>
          <w:b w:val="false"/>
          <w:i w:val="false"/>
          <w:color w:val="000000"/>
          <w:sz w:val="28"/>
        </w:rPr>
        <w:t xml:space="preserve">
      Строительство ОРЦ имеет государственное значение и позволит обеспечить оптимальное товародвижение от отечественного производителя до полки, в том числе снизить непроизводственные потери сельхозтоваропроизводителей, гарантировать сбыт продукции и исключить неэффективных оптовых перекупщиков, а также обеспечить эффективные межрегиональные перетоки товаров. </w:t>
      </w:r>
    </w:p>
    <w:bookmarkEnd w:id="32"/>
    <w:bookmarkStart w:name="z37" w:id="33"/>
    <w:p>
      <w:pPr>
        <w:spacing w:after="0"/>
        <w:ind w:left="0"/>
        <w:jc w:val="both"/>
      </w:pPr>
      <w:r>
        <w:rPr>
          <w:rFonts w:ascii="Times New Roman"/>
          <w:b w:val="false"/>
          <w:i w:val="false"/>
          <w:color w:val="000000"/>
          <w:sz w:val="28"/>
        </w:rPr>
        <w:t>
      Перечисленные стратегические направления представляют собой развитие второго из двух стратегических направлений, предусмотренных предыдущей версией стратегии Общества, а именно "Обеспечить максимально эффективное использование и развитие материальной, технологической и других составляющих наследия ЭКСПО-2017 в интересах развития города Нур-Султана, Казахстана и мировой экономики в целом".</w:t>
      </w:r>
    </w:p>
    <w:bookmarkEnd w:id="33"/>
    <w:bookmarkStart w:name="z38" w:id="34"/>
    <w:p>
      <w:pPr>
        <w:spacing w:after="0"/>
        <w:ind w:left="0"/>
        <w:jc w:val="both"/>
      </w:pPr>
      <w:r>
        <w:rPr>
          <w:rFonts w:ascii="Times New Roman"/>
          <w:b w:val="false"/>
          <w:i w:val="false"/>
          <w:color w:val="000000"/>
          <w:sz w:val="28"/>
        </w:rPr>
        <w:t>
      При этом стоит отметить, что роль Общества по созданию и развитию инновационной инфраструктуры актуализирована с учетом начала реализации ряда инициатив, таких как МФЦА, Astana Hub, IT-университет, МЦЗТИП. Роль Общества состоит в том, что данные инициативы являются его якорными арендаторами.</w:t>
      </w:r>
    </w:p>
    <w:bookmarkEnd w:id="34"/>
    <w:bookmarkStart w:name="z39" w:id="35"/>
    <w:p>
      <w:pPr>
        <w:spacing w:after="0"/>
        <w:ind w:left="0"/>
        <w:jc w:val="both"/>
      </w:pPr>
      <w:r>
        <w:rPr>
          <w:rFonts w:ascii="Times New Roman"/>
          <w:b w:val="false"/>
          <w:i w:val="false"/>
          <w:color w:val="000000"/>
          <w:sz w:val="28"/>
        </w:rPr>
        <w:t>
      Предложенные направления развития Общества соответствуют государственным стратегическим документам. Общими чертами стратегических документов являются построение экспортоориентированной экономики, развитие человеческого потенциала и следование новейшим трендам цифровизации. Концепция развития нового делового центра на базе активов ЭКСПО-2017 направлена на решение этих задач.</w:t>
      </w:r>
    </w:p>
    <w:bookmarkEnd w:id="35"/>
    <w:bookmarkStart w:name="z40" w:id="36"/>
    <w:p>
      <w:pPr>
        <w:spacing w:after="0"/>
        <w:ind w:left="0"/>
        <w:jc w:val="both"/>
      </w:pPr>
      <w:r>
        <w:rPr>
          <w:rFonts w:ascii="Times New Roman"/>
          <w:b w:val="false"/>
          <w:i w:val="false"/>
          <w:color w:val="000000"/>
          <w:sz w:val="28"/>
        </w:rPr>
        <w:t>
      Функционирование сферы "Нур-Алем" напрямую связано с развитием человеческого потенциала в направлении адаптации людей к условиям новой экономики и зеленой энергетики. Кроме того, сфера "Нур-Алем – яркий символ нового делового центра, способствующий привлечению инвесторов и технологических компаний к возможностям ведения бизнеса в городе Нур-Султане и Казахстане.</w:t>
      </w:r>
    </w:p>
    <w:bookmarkEnd w:id="36"/>
    <w:bookmarkStart w:name="z41" w:id="37"/>
    <w:p>
      <w:pPr>
        <w:spacing w:after="0"/>
        <w:ind w:left="0"/>
        <w:jc w:val="both"/>
      </w:pPr>
      <w:r>
        <w:rPr>
          <w:rFonts w:ascii="Times New Roman"/>
          <w:b w:val="false"/>
          <w:i w:val="false"/>
          <w:color w:val="000000"/>
          <w:sz w:val="28"/>
        </w:rPr>
        <w:t>
      Предоставление площадей для размещения якорных арендаторов также является элементом реализации стратегических инициатив государства, поскольку МФЦА, Astana Hub, IT-университет, МЦЗТИП представляют собой конкретные инициативы, развивающие финансовый сектор, инновационные направления и цифровизацию, также человеческий капитал в этих направлениях.</w:t>
      </w:r>
    </w:p>
    <w:bookmarkEnd w:id="37"/>
    <w:bookmarkStart w:name="z42" w:id="38"/>
    <w:p>
      <w:pPr>
        <w:spacing w:after="0"/>
        <w:ind w:left="0"/>
        <w:jc w:val="both"/>
      </w:pPr>
      <w:r>
        <w:rPr>
          <w:rFonts w:ascii="Times New Roman"/>
          <w:b w:val="false"/>
          <w:i w:val="false"/>
          <w:color w:val="000000"/>
          <w:sz w:val="28"/>
        </w:rPr>
        <w:t>
      Проведение КВМ и культурно-развлекательных мероприятий, а также участие в международных мероприятиях призваны поддерживать развитие экономики, казахстанского бизнеса, привлечение новых инвесторов и технологических партнеров, формирование связей между различными участниками новой экономики, обеспечение комфортных условий с точки зрения прозрачности действий государства и информированности существующих и новых участников экономической деятельности о возможностях и условиях ведения бизнеса в Казахстане. Эти цели также соответствуют государственным стратегическим инициативам.</w:t>
      </w:r>
    </w:p>
    <w:bookmarkEnd w:id="38"/>
    <w:bookmarkStart w:name="z43" w:id="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по переходу Республики Казахстан к "зеленой экономике", утвержденной Указом Президента Республики Казахстан от 30 мая 2013 года № 577, Общество позиционирует себя как организацию, приверженную принципам "зеленой экономики", путем соответствия техническому регламенту ЕвразЭС "О безопасности зданий и сооружений, строительных материалов и изделий", сертификации объектов по международной системе Building Research Establishment Environmental Assessment Method (далее – BREEAM), продвижения "зеленых" технологий и энергии будущего.</w:t>
      </w:r>
    </w:p>
    <w:bookmarkEnd w:id="39"/>
    <w:bookmarkStart w:name="z44" w:id="40"/>
    <w:p>
      <w:pPr>
        <w:spacing w:after="0"/>
        <w:ind w:left="0"/>
        <w:jc w:val="both"/>
      </w:pPr>
      <w:r>
        <w:rPr>
          <w:rFonts w:ascii="Times New Roman"/>
          <w:b w:val="false"/>
          <w:i w:val="false"/>
          <w:color w:val="000000"/>
          <w:sz w:val="28"/>
        </w:rPr>
        <w:t>
      Целями проекта развития сети ОРЦ являются обеспечение сбыта сельскохозяйственной продукции и импортозамещение за счет создания в рамках сети ОРЦ условий для приема, реализации, подработки, первичной переработки и надлежащего хранения сельскохозяйственной продукции, включая оказание внутренней продовольственной помощи и формирование резервов для решения проблемы продовольственной безопасности.</w:t>
      </w:r>
    </w:p>
    <w:bookmarkEnd w:id="40"/>
    <w:bookmarkStart w:name="z45" w:id="41"/>
    <w:p>
      <w:pPr>
        <w:spacing w:after="0"/>
        <w:ind w:left="0"/>
        <w:jc w:val="both"/>
      </w:pPr>
      <w:r>
        <w:rPr>
          <w:rFonts w:ascii="Times New Roman"/>
          <w:b w:val="false"/>
          <w:i w:val="false"/>
          <w:color w:val="000000"/>
          <w:sz w:val="28"/>
        </w:rPr>
        <w:t>
      Система стратегических целей по каждому стратегическому направлению, а также соответствующие стратегические задачи и ключевые показатели деятельности (далее – КПД) представлены в следующей таблице и подробнее изложены ниже.";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4.</w:t>
      </w:r>
      <w:r>
        <w:rPr>
          <w:rFonts w:ascii="Times New Roman"/>
          <w:b w:val="false"/>
          <w:i w:val="false"/>
          <w:color w:val="000000"/>
          <w:sz w:val="28"/>
        </w:rPr>
        <w:t xml:space="preserve"> Стратегические направления, цели, задачи и КПД изложить в следующей редакции:</w:t>
      </w:r>
    </w:p>
    <w:bookmarkStart w:name="z47" w:id="42"/>
    <w:p>
      <w:pPr>
        <w:spacing w:after="0"/>
        <w:ind w:left="0"/>
        <w:jc w:val="both"/>
      </w:pPr>
      <w:r>
        <w:rPr>
          <w:rFonts w:ascii="Times New Roman"/>
          <w:b w:val="false"/>
          <w:i w:val="false"/>
          <w:color w:val="000000"/>
          <w:sz w:val="28"/>
        </w:rPr>
        <w:t>
      "Таблица 4. Стратегические направления, цели, задачи и КПД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402"/>
        <w:gridCol w:w="3379"/>
        <w:gridCol w:w="3596"/>
        <w:gridCol w:w="3756"/>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объектами и имуществом, включая коммерциализацию сервисных услуг</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сдачи офисной и торговой недвижимости в аренду 11,1 млрд тенге в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процессов маркетинга и продаж и взаимоотношения с клиентами</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11,1 млрд тенге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процессов управления жизненным циклом активов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процессов по управлению объектами в аутсорсинг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КВМ и участие в международных мероприятиях</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7,4 млрд тенге в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управление портфелем мероприятий</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7,4 млрд тенге в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модели управления площадками для КВМ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в том числе на выставках ЭКСПО 2020 Дубай, ЭКСПО 2023 Буэнос-Айрес и ЭКСПО 2025 Осака</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успешного участия на специализированных и мировых выставках ЭКСПО, в том числе ЭКСПО 2020 Дубай, ЭКСПО 2023 Буэнос-Айрес, ЭКСПО 2025 Осака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Казахстанского павильона на специализированных выставках ЭКСПО – не менее 1 млн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вовлечения Общества в международные мероприятия, на которых участвуют казахстанские государственные и квазигосударственные структуры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Общества в 2 международных мероприятиях к 2021 г.</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w:t>
            </w:r>
            <w:r>
              <w:br/>
            </w:r>
            <w:r>
              <w:rPr>
                <w:rFonts w:ascii="Times New Roman"/>
                <w:b w:val="false"/>
                <w:i w:val="false"/>
                <w:color w:val="000000"/>
                <w:sz w:val="20"/>
              </w:rPr>
              <w:t>сферы "Нур-Алем" как символа нового делового центра, точки притяжения туристов</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посещаемости сферы до 350 тыс. человек в год к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по регулярному обновлению контента сферы "Нур-Алем"</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посетителей сферы – 350 тыс. человек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функции интернет-маркетинга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гибкой ценовой политики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доли дополнительной выручки (за исключением билетов) 10% в структуре общих доходов сферы "Нур-Алем" к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точек розничной торговли</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дополнительных доходов (за исключением билетов) в общей выручке сферы "Нур-Алем" – 10%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услуг и развлечений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денежных средств от реализации инвестиционных проектов – 5 млрд тенге к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с использованием вакантных земельных участков, находящихся на балансе Общества, до 2024 г.</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от реализованных инвестиционных проектов в размере 5 млрд тенге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инвестиционных проектов, достижение полного исполнения обязательств по инвестиционным проектам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Общества</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социально-трудовых отношений на основе принципа социального партнерства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вовлеченности персонала – 70%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непрерывной подготовки кадров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менее 15% к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операционной безубыточности к 2024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обслуживания, ориентированного на надежности (RCM)</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Общества &gt;15% в 2024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"умных" технологий для сокращения расходов на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Общества к 2020 г.</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модели бизнес-процессов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бизнес-процессов на 100% к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организационной структуры</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организационной структуры на 100% к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оптимизированной системы показателей эффективности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управление ОРЦ</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товаропроводящей системы на территории Республики Казахстан и за его пределами</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сети ОРЦ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(выделение, отвод и оформление) земельных участков под строительство ОРЦ к 2022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ОРЦ* - 24 ОРЦ к 2023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ОРЦ</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управляющей компании на основе принципов государственно- частного партнерства – не менее 1 оператора к 2023 году</w:t>
            </w:r>
          </w:p>
        </w:tc>
      </w:tr>
    </w:tbl>
    <w:bookmarkStart w:name="z48" w:id="43"/>
    <w:p>
      <w:pPr>
        <w:spacing w:after="0"/>
        <w:ind w:left="0"/>
        <w:jc w:val="both"/>
      </w:pPr>
      <w:r>
        <w:rPr>
          <w:rFonts w:ascii="Times New Roman"/>
          <w:b w:val="false"/>
          <w:i w:val="false"/>
          <w:color w:val="000000"/>
          <w:sz w:val="28"/>
        </w:rPr>
        <w:t>
      Примечание:</w:t>
      </w:r>
    </w:p>
    <w:bookmarkEnd w:id="43"/>
    <w:bookmarkStart w:name="z49" w:id="44"/>
    <w:p>
      <w:pPr>
        <w:spacing w:after="0"/>
        <w:ind w:left="0"/>
        <w:jc w:val="both"/>
      </w:pPr>
      <w:r>
        <w:rPr>
          <w:rFonts w:ascii="Times New Roman"/>
          <w:b w:val="false"/>
          <w:i w:val="false"/>
          <w:color w:val="000000"/>
          <w:sz w:val="28"/>
        </w:rPr>
        <w:t>
      *Строительство включает в себя разработку проектно-сметной документации, экспертизу, бюджетирование, определение подрядчика, строительство ОРЦ.</w:t>
      </w:r>
    </w:p>
    <w:bookmarkEnd w:id="44"/>
    <w:bookmarkStart w:name="z50" w:id="45"/>
    <w:p>
      <w:pPr>
        <w:spacing w:after="0"/>
        <w:ind w:left="0"/>
        <w:jc w:val="both"/>
      </w:pPr>
      <w:r>
        <w:rPr>
          <w:rFonts w:ascii="Times New Roman"/>
          <w:b w:val="false"/>
          <w:i w:val="false"/>
          <w:color w:val="000000"/>
          <w:sz w:val="28"/>
        </w:rPr>
        <w:t>
      Ввод в эксплуатацию по мере завершения строительства.";</w:t>
      </w:r>
    </w:p>
    <w:bookmarkEnd w:id="45"/>
    <w:bookmarkStart w:name="z51" w:id="46"/>
    <w:p>
      <w:pPr>
        <w:spacing w:after="0"/>
        <w:ind w:left="0"/>
        <w:jc w:val="both"/>
      </w:pPr>
      <w:r>
        <w:rPr>
          <w:rFonts w:ascii="Times New Roman"/>
          <w:b w:val="false"/>
          <w:i w:val="false"/>
          <w:color w:val="000000"/>
          <w:sz w:val="28"/>
        </w:rPr>
        <w:t>
      дополнить подразделом 3.6 следующего содержания:</w:t>
      </w:r>
    </w:p>
    <w:bookmarkEnd w:id="46"/>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"3.6 Строительство и управление ОРЦ</w:t>
      </w:r>
    </w:p>
    <w:bookmarkEnd w:id="47"/>
    <w:bookmarkStart w:name="z53" w:id="48"/>
    <w:p>
      <w:pPr>
        <w:spacing w:after="0"/>
        <w:ind w:left="0"/>
        <w:jc w:val="both"/>
      </w:pPr>
      <w:r>
        <w:rPr>
          <w:rFonts w:ascii="Times New Roman"/>
          <w:b w:val="false"/>
          <w:i w:val="false"/>
          <w:color w:val="000000"/>
          <w:sz w:val="28"/>
        </w:rPr>
        <w:t xml:space="preserve">
      На начальном этапе управление деятельностью ОРЦ будет осуществляться обществом. В дальнейшем в целях эффективного совместного управления деятельностью сети ОРЦ предусматривается привлечение частных компаний на основании принципов государственно-частного партнерства. </w:t>
      </w:r>
    </w:p>
    <w:bookmarkEnd w:id="48"/>
    <w:bookmarkStart w:name="z54" w:id="49"/>
    <w:p>
      <w:pPr>
        <w:spacing w:after="0"/>
        <w:ind w:left="0"/>
        <w:jc w:val="both"/>
      </w:pPr>
      <w:r>
        <w:rPr>
          <w:rFonts w:ascii="Times New Roman"/>
          <w:b w:val="false"/>
          <w:i w:val="false"/>
          <w:color w:val="000000"/>
          <w:sz w:val="28"/>
        </w:rPr>
        <w:t>
      Данная мера позволит значительно сократить расходы на содержание объектов и эксплуатацию оборудования путем профессиональной оптимизации расходов. При этом, привлекаемая управляющая компания должна обладать уникальным опытом ведения оптово-торговой деятельности и управления оптово-торговой инфраструктурой.</w:t>
      </w:r>
    </w:p>
    <w:bookmarkEnd w:id="49"/>
    <w:bookmarkStart w:name="z55" w:id="50"/>
    <w:p>
      <w:pPr>
        <w:spacing w:after="0"/>
        <w:ind w:left="0"/>
        <w:jc w:val="both"/>
      </w:pPr>
      <w:r>
        <w:rPr>
          <w:rFonts w:ascii="Times New Roman"/>
          <w:b w:val="false"/>
          <w:i w:val="false"/>
          <w:color w:val="000000"/>
          <w:sz w:val="28"/>
        </w:rPr>
        <w:t xml:space="preserve">
      Как показывает мировой опыт, создание товаропроводящей инфраструктуры, состоящей из оптовых сельскохозяйственных рынков, обеспечивает свободный доступ сельхозтоваропроизводителям к рынкам сбыта, гарантирует сохранность, необходимую предпродажную подготовку и обработку продукции, что позволяет повысить качество продукции и своевременную ее реализацию. </w:t>
      </w:r>
    </w:p>
    <w:bookmarkEnd w:id="50"/>
    <w:bookmarkStart w:name="z56" w:id="51"/>
    <w:p>
      <w:pPr>
        <w:spacing w:after="0"/>
        <w:ind w:left="0"/>
        <w:jc w:val="both"/>
      </w:pPr>
      <w:r>
        <w:rPr>
          <w:rFonts w:ascii="Times New Roman"/>
          <w:b w:val="false"/>
          <w:i w:val="false"/>
          <w:color w:val="000000"/>
          <w:sz w:val="28"/>
        </w:rPr>
        <w:t>
      Подобное объединение сельскохозяйственных рынков в крупные специализированные центры, именуемые ОРЦ, представляет собой многофункциональные инфраструктурные торгово-логистические комплексы, которые подразделяются на несколько типов в зависимости от основной направленности, такие как хранение, распределение, торговля и их совмещение.</w:t>
      </w:r>
    </w:p>
    <w:bookmarkEnd w:id="51"/>
    <w:bookmarkStart w:name="z57" w:id="52"/>
    <w:p>
      <w:pPr>
        <w:spacing w:after="0"/>
        <w:ind w:left="0"/>
        <w:jc w:val="both"/>
      </w:pPr>
      <w:r>
        <w:rPr>
          <w:rFonts w:ascii="Times New Roman"/>
          <w:b w:val="false"/>
          <w:i w:val="false"/>
          <w:color w:val="000000"/>
          <w:sz w:val="28"/>
        </w:rPr>
        <w:t xml:space="preserve">
      При этом, ОРЦ – это многофункциональный инфраструктурный торгово-логистический комплекс, состоящий из складских помещений,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торговли на внутреннем и внешнем рынках. </w:t>
      </w:r>
    </w:p>
    <w:bookmarkEnd w:id="52"/>
    <w:bookmarkStart w:name="z58" w:id="53"/>
    <w:p>
      <w:pPr>
        <w:spacing w:after="0"/>
        <w:ind w:left="0"/>
        <w:jc w:val="both"/>
      </w:pPr>
      <w:r>
        <w:rPr>
          <w:rFonts w:ascii="Times New Roman"/>
          <w:b w:val="false"/>
          <w:i w:val="false"/>
          <w:color w:val="000000"/>
          <w:sz w:val="28"/>
        </w:rPr>
        <w:t>
      В рамках данного направления Общество ставит следующую цель:</w:t>
      </w:r>
    </w:p>
    <w:bookmarkEnd w:id="53"/>
    <w:bookmarkStart w:name="z59" w:id="54"/>
    <w:p>
      <w:pPr>
        <w:spacing w:after="0"/>
        <w:ind w:left="0"/>
        <w:jc w:val="both"/>
      </w:pPr>
      <w:r>
        <w:rPr>
          <w:rFonts w:ascii="Times New Roman"/>
          <w:b w:val="false"/>
          <w:i w:val="false"/>
          <w:color w:val="000000"/>
          <w:sz w:val="28"/>
        </w:rPr>
        <w:t xml:space="preserve">
      </w:t>
      </w:r>
      <w:r>
        <w:rPr>
          <w:rFonts w:ascii="Times New Roman"/>
          <w:b/>
          <w:i w:val="false"/>
          <w:color w:val="000000"/>
          <w:sz w:val="28"/>
        </w:rPr>
        <w:t>3.6.1 Цель № 10: Создание товаропроводящей системы на территории Республики Казахстан и за ее пределами</w:t>
      </w:r>
    </w:p>
    <w:bookmarkEnd w:id="54"/>
    <w:bookmarkStart w:name="z60" w:id="55"/>
    <w:p>
      <w:pPr>
        <w:spacing w:after="0"/>
        <w:ind w:left="0"/>
        <w:jc w:val="both"/>
      </w:pPr>
      <w:r>
        <w:rPr>
          <w:rFonts w:ascii="Times New Roman"/>
          <w:b w:val="false"/>
          <w:i w:val="false"/>
          <w:color w:val="000000"/>
          <w:sz w:val="28"/>
        </w:rPr>
        <w:t xml:space="preserve">
      Необходимость создания сети ОРЦ для развития товаропроводящей системы обусловлена неэффективной существующей системой ценообразования и высокой волатильности цен на плодоовощную продукцию, недостаточной обеспеченностью производственной инфраструктурой и, как следствие, высокими потерями и низкой конкурентоспособностью продукции отечественных сельхозтоваропроизводителей. </w:t>
      </w:r>
    </w:p>
    <w:bookmarkEnd w:id="55"/>
    <w:bookmarkStart w:name="z61" w:id="56"/>
    <w:p>
      <w:pPr>
        <w:spacing w:after="0"/>
        <w:ind w:left="0"/>
        <w:jc w:val="both"/>
      </w:pPr>
      <w:r>
        <w:rPr>
          <w:rFonts w:ascii="Times New Roman"/>
          <w:b w:val="false"/>
          <w:i w:val="false"/>
          <w:color w:val="000000"/>
          <w:sz w:val="28"/>
        </w:rPr>
        <w:t>
      Строительство ОРЦ имеет государственное значение и позволит создать эффективные межрегиональные каналы перераспределения продукции. Все потоки товаров, проходящих через сеть ОРЦ, в обязательном порядке будут оцифрованы и на площадках ОРЦ будут размещены электронные торговые площадки, в том числе ориентированные на экспорт.</w:t>
      </w:r>
    </w:p>
    <w:bookmarkEnd w:id="56"/>
    <w:bookmarkStart w:name="z62" w:id="57"/>
    <w:p>
      <w:pPr>
        <w:spacing w:after="0"/>
        <w:ind w:left="0"/>
        <w:jc w:val="both"/>
      </w:pPr>
      <w:r>
        <w:rPr>
          <w:rFonts w:ascii="Times New Roman"/>
          <w:b w:val="false"/>
          <w:i w:val="false"/>
          <w:color w:val="000000"/>
          <w:sz w:val="28"/>
        </w:rPr>
        <w:t>
      Каждое ОРЦ будет оснащено интегрированной автоматизированной информационной системой по управлению мощностями хранения, позволяющей вести учет товара с точностью до 1 паллеты, а также отслеживать местоположение и объемы товара.</w:t>
      </w:r>
    </w:p>
    <w:bookmarkEnd w:id="57"/>
    <w:bookmarkStart w:name="z63" w:id="58"/>
    <w:p>
      <w:pPr>
        <w:spacing w:after="0"/>
        <w:ind w:left="0"/>
        <w:jc w:val="both"/>
      </w:pPr>
      <w:r>
        <w:rPr>
          <w:rFonts w:ascii="Times New Roman"/>
          <w:b w:val="false"/>
          <w:i w:val="false"/>
          <w:color w:val="000000"/>
          <w:sz w:val="28"/>
        </w:rPr>
        <w:t>
      Соответственно, ключевыми показателями эффективности достижения данной цели являются:</w:t>
      </w:r>
    </w:p>
    <w:bookmarkEnd w:id="58"/>
    <w:bookmarkStart w:name="z64"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1: Строительство сети ОРЦ </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КПД 1: Получение (выделение, отвод и оформление) земельных участков под строительство ОРЦ к 2022 году</w:t>
      </w:r>
    </w:p>
    <w:bookmarkEnd w:id="60"/>
    <w:bookmarkStart w:name="z66" w:id="61"/>
    <w:p>
      <w:pPr>
        <w:spacing w:after="0"/>
        <w:ind w:left="0"/>
        <w:jc w:val="both"/>
      </w:pPr>
      <w:r>
        <w:rPr>
          <w:rFonts w:ascii="Times New Roman"/>
          <w:b w:val="false"/>
          <w:i w:val="false"/>
          <w:color w:val="000000"/>
          <w:sz w:val="28"/>
        </w:rPr>
        <w:t xml:space="preserve">
      В целях успешной реализации данного направления местными исполнительными органами будут отобраны и переданы Обществу земельные участки для строительства ОРЦ. </w:t>
      </w:r>
    </w:p>
    <w:bookmarkEnd w:id="61"/>
    <w:bookmarkStart w:name="z67" w:id="62"/>
    <w:p>
      <w:pPr>
        <w:spacing w:after="0"/>
        <w:ind w:left="0"/>
        <w:jc w:val="both"/>
      </w:pPr>
      <w:r>
        <w:rPr>
          <w:rFonts w:ascii="Times New Roman"/>
          <w:b w:val="false"/>
          <w:i w:val="false"/>
          <w:color w:val="000000"/>
          <w:sz w:val="28"/>
        </w:rPr>
        <w:t>
      Выбор набора инфраструктурного наполнения и месторасположения каждого конкретного ОРЦ будет основываться на географической специфике, близости к центрам производства и потребления, а также характеристиках региона. При этом, ОРЦ, специализирующиеся на хранении, планируется разместить в местах производства сельскохозяйственной продукции, максимально приближенно к сельхозтоваропроизводителям, что позволит обеспечить накопление и обработку необходимого ассортимента продукции, а также предоставит фермерам необходимые услуги по закладке семян и аренде сельхозинструментов и механизации.</w:t>
      </w:r>
    </w:p>
    <w:bookmarkEnd w:id="62"/>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КПД 2: Строительство ОРЦ – 24 ОРЦ к 2023 году</w:t>
      </w:r>
    </w:p>
    <w:bookmarkEnd w:id="63"/>
    <w:bookmarkStart w:name="z69" w:id="64"/>
    <w:p>
      <w:pPr>
        <w:spacing w:after="0"/>
        <w:ind w:left="0"/>
        <w:jc w:val="both"/>
      </w:pPr>
      <w:r>
        <w:rPr>
          <w:rFonts w:ascii="Times New Roman"/>
          <w:b w:val="false"/>
          <w:i w:val="false"/>
          <w:color w:val="000000"/>
          <w:sz w:val="28"/>
        </w:rPr>
        <w:t>
      Обеспечить к 2023 году строительство, ввод в эксплуатацию и запуск 24 объектов ОРЦ по всей территории страны. Общая стоимость реализации проекта составляет 237,5 млрд. тенге.</w:t>
      </w:r>
    </w:p>
    <w:bookmarkEnd w:id="64"/>
    <w:bookmarkStart w:name="z70" w:id="65"/>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Краткое описание ОРЦ</w:t>
      </w:r>
    </w:p>
    <w:bookmarkEnd w:id="65"/>
    <w:bookmarkStart w:name="z71" w:id="66"/>
    <w:p>
      <w:pPr>
        <w:spacing w:after="0"/>
        <w:ind w:left="0"/>
        <w:jc w:val="both"/>
      </w:pPr>
      <w:r>
        <w:rPr>
          <w:rFonts w:ascii="Times New Roman"/>
          <w:b w:val="false"/>
          <w:i w:val="false"/>
          <w:color w:val="000000"/>
          <w:sz w:val="28"/>
        </w:rPr>
        <w:t>
      ОРЦ, специализированные на хранении, будут располагаться вблизи центров сельскохозяйственного производства, позволяя фермерам организовать хранение, упаковку и поставку своей продукции. Количество и мощность таких ОРЦ будут зависеть от материальных потоков, логистики и стратегии производства. Данные ОРЦ будут осуществлять закуп и приемку сельхозпродукции, обеспечивать калибровку, упаковку и фасовку, хранение и распределение плодоовощной продукции, также предоставляя местным фермерам услуги по ветеринарному и фитосанитарному анализу продукции, реализации семян, саженцев, кормов, сдавать в аренду овощехранилища, сельскохозяйственную механизацию и инструменты. В целом данные ОРЦ будут способствовать развитию сельхозтоваропроизводителей на местах. Далее подготовленный в этих ОРЦ ассортимент сельхозпродукции будет транспортироваться и реализовываться через ОРЦ, специализированные на торговле и распределении.</w:t>
      </w:r>
    </w:p>
    <w:bookmarkEnd w:id="66"/>
    <w:bookmarkStart w:name="z72" w:id="67"/>
    <w:p>
      <w:pPr>
        <w:spacing w:after="0"/>
        <w:ind w:left="0"/>
        <w:jc w:val="both"/>
      </w:pPr>
      <w:r>
        <w:rPr>
          <w:rFonts w:ascii="Times New Roman"/>
          <w:b w:val="false"/>
          <w:i w:val="false"/>
          <w:color w:val="000000"/>
          <w:sz w:val="28"/>
        </w:rPr>
        <w:t>
      ОРЦ, специализированные на торговле и распределении, в свою очередь, помимо функционала по хранению, упаковке, погрузке-разгрузке, организации логистики и транспортировке будут обеспечивать отслеживаемость продукции, контроль ее качества, пищевую безопасность, переработку отходов, также оказывать содействие по вопросам финансирования, маркетинга, организации импорта и экспорта.</w:t>
      </w:r>
    </w:p>
    <w:bookmarkEnd w:id="67"/>
    <w:bookmarkStart w:name="z73" w:id="68"/>
    <w:p>
      <w:pPr>
        <w:spacing w:after="0"/>
        <w:ind w:left="0"/>
        <w:jc w:val="both"/>
      </w:pPr>
      <w:r>
        <w:rPr>
          <w:rFonts w:ascii="Times New Roman"/>
          <w:b w:val="false"/>
          <w:i w:val="false"/>
          <w:color w:val="000000"/>
          <w:sz w:val="28"/>
        </w:rPr>
        <w:t>
      При этом, ОРЦ, специализированные на торговле и распределении, будут размещаться вблизи крупных городов, имеющих объемный рынок сбыта, развитую транспортную инфраструктуру, а также выгодное географическое местоположение. Их упорядоченное функционирование значительно упросит закупку сельскохозяйственной продукции. Концентрация производителей на базе ОРЦ улучшит конкурентную среду что, в свою очередь, сгладит ценовые колебания на сельскохозяйственную продукцию. А наличие в ОРЦ таможенного терминала позволит существенно ускорить процедуру оформления грузов, что повысит оборот товара.</w:t>
      </w:r>
    </w:p>
    <w:bookmarkEnd w:id="68"/>
    <w:bookmarkStart w:name="z74" w:id="69"/>
    <w:p>
      <w:pPr>
        <w:spacing w:after="0"/>
        <w:ind w:left="0"/>
        <w:jc w:val="both"/>
      </w:pPr>
      <w:r>
        <w:rPr>
          <w:rFonts w:ascii="Times New Roman"/>
          <w:b w:val="false"/>
          <w:i w:val="false"/>
          <w:color w:val="000000"/>
          <w:sz w:val="28"/>
        </w:rPr>
        <w:t>
      Все ОРЦ будут оснащены интегрированной автоматизированной информационной системой по управлению мощностями хранения, позволяющей вести учет товара с точностью до 1 паллеты, а также отслеживать местоположение и объемы товара.</w:t>
      </w:r>
    </w:p>
    <w:bookmarkEnd w:id="69"/>
    <w:bookmarkStart w:name="z75" w:id="70"/>
    <w:p>
      <w:pPr>
        <w:spacing w:after="0"/>
        <w:ind w:left="0"/>
        <w:jc w:val="both"/>
      </w:pPr>
      <w:r>
        <w:rPr>
          <w:rFonts w:ascii="Times New Roman"/>
          <w:b w:val="false"/>
          <w:i w:val="false"/>
          <w:color w:val="000000"/>
          <w:sz w:val="28"/>
        </w:rPr>
        <w:t>
      Формирование всей системы ОРЦ, тесно и слаженно взаимодействующих друг с другом, в процессе информационного обмена обеспечит распределение избытков продовольствия с региональных оптовых центров, а также эффективные межрегиональные перетоки товаров. Аккумулирование и анализ информации по объемам/ценам на сельхозпродукцию позволят проводить анализ в разрезе отдельных товарных позиций, широкий доступ к которым будет способствовать формированию справедливой цены на сельхозпродукцию, а также развитию биржевой торговли.</w:t>
      </w:r>
    </w:p>
    <w:bookmarkEnd w:id="70"/>
    <w:bookmarkStart w:name="z76" w:id="71"/>
    <w:p>
      <w:pPr>
        <w:spacing w:after="0"/>
        <w:ind w:left="0"/>
        <w:jc w:val="both"/>
      </w:pPr>
      <w:r>
        <w:rPr>
          <w:rFonts w:ascii="Times New Roman"/>
          <w:b w:val="false"/>
          <w:i w:val="false"/>
          <w:color w:val="000000"/>
          <w:sz w:val="28"/>
        </w:rPr>
        <w:t>
      В результате успешной реализации данного стратегического направления сеть ОРЦ будет формировать единую региональную платформу по оказанию услуг сельхозтоваропроизводителям, логистическим компаниям, оптовикам, фермерским кооперативам и сетевым ритейлам по организации закупа, продажи, хранения, доработки, фасовки, транспортировки, распределению и реализации сельскохозяйственной продукции, надлежащего фитосанитарного и ветеринарного контроля, эффективного межрегионального перераспределения сельхозпродукции, а также таможенного обслуживания внешнеторговых потоков продовольствия.</w:t>
      </w:r>
    </w:p>
    <w:bookmarkEnd w:id="71"/>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Управление сетью ОРЦ</w:t>
      </w:r>
    </w:p>
    <w:bookmarkEnd w:id="72"/>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КПД 1: Привлечение управляющей компании на основе принципов государственно-частного партнерства – привлечь не менее 1 оператора к 2023 году.</w:t>
      </w:r>
    </w:p>
    <w:bookmarkEnd w:id="73"/>
    <w:bookmarkStart w:name="z79" w:id="74"/>
    <w:p>
      <w:pPr>
        <w:spacing w:after="0"/>
        <w:ind w:left="0"/>
        <w:jc w:val="both"/>
      </w:pPr>
      <w:r>
        <w:rPr>
          <w:rFonts w:ascii="Times New Roman"/>
          <w:b w:val="false"/>
          <w:i w:val="false"/>
          <w:color w:val="000000"/>
          <w:sz w:val="28"/>
        </w:rPr>
        <w:t>
      На начальном этапе управление деятельностью ОРЦ будет осуществляться Обществом.</w:t>
      </w:r>
    </w:p>
    <w:bookmarkEnd w:id="74"/>
    <w:bookmarkStart w:name="z80" w:id="75"/>
    <w:p>
      <w:pPr>
        <w:spacing w:after="0"/>
        <w:ind w:left="0"/>
        <w:jc w:val="both"/>
      </w:pPr>
      <w:r>
        <w:rPr>
          <w:rFonts w:ascii="Times New Roman"/>
          <w:b w:val="false"/>
          <w:i w:val="false"/>
          <w:color w:val="000000"/>
          <w:sz w:val="28"/>
        </w:rPr>
        <w:t>
      В дальнейшем в целях эффективного совместного управления деятельностью сети ОРЦ предусматривается привлечение частных компаний на основании принципов государственно-частного партнерства. Данная мера позволит значительно сократить расходы на содержание объектов и эксплуатацию оборудования путем профессиональной оптимизации расходов. При этом, привлекаемая управляющая компания должна обладать уникальным опытом ведения оптово-торговой деятельности и управления оптово-торговой инфраструктурой.";</w:t>
      </w:r>
    </w:p>
    <w:bookmarkEnd w:id="75"/>
    <w:bookmarkStart w:name="z8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"Система управления рисками":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4.1</w:t>
      </w:r>
      <w:r>
        <w:rPr>
          <w:rFonts w:ascii="Times New Roman"/>
          <w:b w:val="false"/>
          <w:i w:val="false"/>
          <w:color w:val="000000"/>
          <w:sz w:val="28"/>
        </w:rPr>
        <w:t xml:space="preserve"> "Стратегические риски" изложить в следующей редакции:</w:t>
      </w:r>
    </w:p>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"4.1 Стратегические риски</w:t>
      </w:r>
    </w:p>
    <w:bookmarkEnd w:id="77"/>
    <w:bookmarkStart w:name="z84" w:id="78"/>
    <w:p>
      <w:pPr>
        <w:spacing w:after="0"/>
        <w:ind w:left="0"/>
        <w:jc w:val="both"/>
      </w:pPr>
      <w:r>
        <w:rPr>
          <w:rFonts w:ascii="Times New Roman"/>
          <w:b w:val="false"/>
          <w:i w:val="false"/>
          <w:color w:val="000000"/>
          <w:sz w:val="28"/>
        </w:rPr>
        <w:t>
      Далее перечислены стратегические риски Общества, выявленные в ходе проведенного анализа:</w:t>
      </w:r>
    </w:p>
    <w:bookmarkEnd w:id="78"/>
    <w:bookmarkStart w:name="z85" w:id="79"/>
    <w:p>
      <w:pPr>
        <w:spacing w:after="0"/>
        <w:ind w:left="0"/>
        <w:jc w:val="both"/>
      </w:pPr>
      <w:r>
        <w:rPr>
          <w:rFonts w:ascii="Times New Roman"/>
          <w:b w:val="false"/>
          <w:i w:val="false"/>
          <w:color w:val="000000"/>
          <w:sz w:val="28"/>
        </w:rPr>
        <w:t>
      наследие выставки – Сфера "Нур-Алем":</w:t>
      </w:r>
    </w:p>
    <w:bookmarkEnd w:id="79"/>
    <w:bookmarkStart w:name="z86" w:id="80"/>
    <w:p>
      <w:pPr>
        <w:spacing w:after="0"/>
        <w:ind w:left="0"/>
        <w:jc w:val="both"/>
      </w:pPr>
      <w:r>
        <w:rPr>
          <w:rFonts w:ascii="Times New Roman"/>
          <w:b w:val="false"/>
          <w:i w:val="false"/>
          <w:color w:val="000000"/>
          <w:sz w:val="28"/>
        </w:rPr>
        <w:t>
      1) снижение дохода из-за низкого уровня посещаемости Сферы;</w:t>
      </w:r>
    </w:p>
    <w:bookmarkEnd w:id="80"/>
    <w:bookmarkStart w:name="z87" w:id="81"/>
    <w:p>
      <w:pPr>
        <w:spacing w:after="0"/>
        <w:ind w:left="0"/>
        <w:jc w:val="both"/>
      </w:pPr>
      <w:r>
        <w:rPr>
          <w:rFonts w:ascii="Times New Roman"/>
          <w:b w:val="false"/>
          <w:i w:val="false"/>
          <w:color w:val="000000"/>
          <w:sz w:val="28"/>
        </w:rPr>
        <w:t>
      2) снижение прибыльности из-за снижения среднего чека;</w:t>
      </w:r>
    </w:p>
    <w:bookmarkEnd w:id="81"/>
    <w:bookmarkStart w:name="z88" w:id="82"/>
    <w:p>
      <w:pPr>
        <w:spacing w:after="0"/>
        <w:ind w:left="0"/>
        <w:jc w:val="both"/>
      </w:pPr>
      <w:r>
        <w:rPr>
          <w:rFonts w:ascii="Times New Roman"/>
          <w:b w:val="false"/>
          <w:i w:val="false"/>
          <w:color w:val="000000"/>
          <w:sz w:val="28"/>
        </w:rPr>
        <w:t>
      3) издержки из-за повреждения Сферы;</w:t>
      </w:r>
    </w:p>
    <w:bookmarkEnd w:id="82"/>
    <w:bookmarkStart w:name="z89" w:id="83"/>
    <w:p>
      <w:pPr>
        <w:spacing w:after="0"/>
        <w:ind w:left="0"/>
        <w:jc w:val="both"/>
      </w:pPr>
      <w:r>
        <w:rPr>
          <w:rFonts w:ascii="Times New Roman"/>
          <w:b w:val="false"/>
          <w:i w:val="false"/>
          <w:color w:val="000000"/>
          <w:sz w:val="28"/>
        </w:rPr>
        <w:t>
      коммерческая недвижимость:</w:t>
      </w:r>
    </w:p>
    <w:bookmarkEnd w:id="83"/>
    <w:bookmarkStart w:name="z90" w:id="84"/>
    <w:p>
      <w:pPr>
        <w:spacing w:after="0"/>
        <w:ind w:left="0"/>
        <w:jc w:val="both"/>
      </w:pPr>
      <w:r>
        <w:rPr>
          <w:rFonts w:ascii="Times New Roman"/>
          <w:b w:val="false"/>
          <w:i w:val="false"/>
          <w:color w:val="000000"/>
          <w:sz w:val="28"/>
        </w:rPr>
        <w:t>
      1) снижение дохода из-за недостаточной загруженности коммерческих площадей;</w:t>
      </w:r>
    </w:p>
    <w:bookmarkEnd w:id="84"/>
    <w:bookmarkStart w:name="z91" w:id="85"/>
    <w:p>
      <w:pPr>
        <w:spacing w:after="0"/>
        <w:ind w:left="0"/>
        <w:jc w:val="both"/>
      </w:pPr>
      <w:r>
        <w:rPr>
          <w:rFonts w:ascii="Times New Roman"/>
          <w:b w:val="false"/>
          <w:i w:val="false"/>
          <w:color w:val="000000"/>
          <w:sz w:val="28"/>
        </w:rPr>
        <w:t>
      2) потеря доходов из-за потери клиентов (якорных инициатив и клиентов бизнес-центра);</w:t>
      </w:r>
    </w:p>
    <w:bookmarkEnd w:id="85"/>
    <w:bookmarkStart w:name="z92" w:id="86"/>
    <w:p>
      <w:pPr>
        <w:spacing w:after="0"/>
        <w:ind w:left="0"/>
        <w:jc w:val="both"/>
      </w:pPr>
      <w:r>
        <w:rPr>
          <w:rFonts w:ascii="Times New Roman"/>
          <w:b w:val="false"/>
          <w:i w:val="false"/>
          <w:color w:val="000000"/>
          <w:sz w:val="28"/>
        </w:rPr>
        <w:t>
      3) снижение дохода от аренды коммерческих площадей якорным арендаторам;</w:t>
      </w:r>
    </w:p>
    <w:bookmarkEnd w:id="86"/>
    <w:bookmarkStart w:name="z93" w:id="87"/>
    <w:p>
      <w:pPr>
        <w:spacing w:after="0"/>
        <w:ind w:left="0"/>
        <w:jc w:val="both"/>
      </w:pPr>
      <w:r>
        <w:rPr>
          <w:rFonts w:ascii="Times New Roman"/>
          <w:b w:val="false"/>
          <w:i w:val="false"/>
          <w:color w:val="000000"/>
          <w:sz w:val="28"/>
        </w:rPr>
        <w:t>
      4) издержки из-за повреждения активов;</w:t>
      </w:r>
    </w:p>
    <w:bookmarkEnd w:id="87"/>
    <w:bookmarkStart w:name="z94" w:id="88"/>
    <w:p>
      <w:pPr>
        <w:spacing w:after="0"/>
        <w:ind w:left="0"/>
        <w:jc w:val="both"/>
      </w:pPr>
      <w:r>
        <w:rPr>
          <w:rFonts w:ascii="Times New Roman"/>
          <w:b w:val="false"/>
          <w:i w:val="false"/>
          <w:color w:val="000000"/>
          <w:sz w:val="28"/>
        </w:rPr>
        <w:t>
      проведение КВМ и участие в международных мероприятиях:</w:t>
      </w:r>
    </w:p>
    <w:bookmarkEnd w:id="88"/>
    <w:bookmarkStart w:name="z95" w:id="89"/>
    <w:p>
      <w:pPr>
        <w:spacing w:after="0"/>
        <w:ind w:left="0"/>
        <w:jc w:val="both"/>
      </w:pPr>
      <w:r>
        <w:rPr>
          <w:rFonts w:ascii="Times New Roman"/>
          <w:b w:val="false"/>
          <w:i w:val="false"/>
          <w:color w:val="000000"/>
          <w:sz w:val="28"/>
        </w:rPr>
        <w:t>
      1) неполучение государственных и квазигосударственных КВМ;</w:t>
      </w:r>
    </w:p>
    <w:bookmarkEnd w:id="89"/>
    <w:bookmarkStart w:name="z96" w:id="90"/>
    <w:p>
      <w:pPr>
        <w:spacing w:after="0"/>
        <w:ind w:left="0"/>
        <w:jc w:val="both"/>
      </w:pPr>
      <w:r>
        <w:rPr>
          <w:rFonts w:ascii="Times New Roman"/>
          <w:b w:val="false"/>
          <w:i w:val="false"/>
          <w:color w:val="000000"/>
          <w:sz w:val="28"/>
        </w:rPr>
        <w:t>
      инвестиционная деятельность:</w:t>
      </w:r>
    </w:p>
    <w:bookmarkEnd w:id="90"/>
    <w:bookmarkStart w:name="z97" w:id="91"/>
    <w:p>
      <w:pPr>
        <w:spacing w:after="0"/>
        <w:ind w:left="0"/>
        <w:jc w:val="both"/>
      </w:pPr>
      <w:r>
        <w:rPr>
          <w:rFonts w:ascii="Times New Roman"/>
          <w:b w:val="false"/>
          <w:i w:val="false"/>
          <w:color w:val="000000"/>
          <w:sz w:val="28"/>
        </w:rPr>
        <w:t>
      1) нереализованность активов из-за низкого уровня заинтересованности инвесторов;</w:t>
      </w:r>
    </w:p>
    <w:bookmarkEnd w:id="91"/>
    <w:bookmarkStart w:name="z98" w:id="92"/>
    <w:p>
      <w:pPr>
        <w:spacing w:after="0"/>
        <w:ind w:left="0"/>
        <w:jc w:val="both"/>
      </w:pPr>
      <w:r>
        <w:rPr>
          <w:rFonts w:ascii="Times New Roman"/>
          <w:b w:val="false"/>
          <w:i w:val="false"/>
          <w:color w:val="000000"/>
          <w:sz w:val="28"/>
        </w:rPr>
        <w:t>
      2) рост издержек из-за недостаточного уровня компетенций для самостоятельной реализации инвестиционных проектов;</w:t>
      </w:r>
    </w:p>
    <w:bookmarkEnd w:id="92"/>
    <w:bookmarkStart w:name="z99" w:id="93"/>
    <w:p>
      <w:pPr>
        <w:spacing w:after="0"/>
        <w:ind w:left="0"/>
        <w:jc w:val="both"/>
      </w:pPr>
      <w:r>
        <w:rPr>
          <w:rFonts w:ascii="Times New Roman"/>
          <w:b w:val="false"/>
          <w:i w:val="false"/>
          <w:color w:val="000000"/>
          <w:sz w:val="28"/>
        </w:rPr>
        <w:t>
      устойчивое развитие:</w:t>
      </w:r>
    </w:p>
    <w:bookmarkEnd w:id="93"/>
    <w:bookmarkStart w:name="z100" w:id="94"/>
    <w:p>
      <w:pPr>
        <w:spacing w:after="0"/>
        <w:ind w:left="0"/>
        <w:jc w:val="both"/>
      </w:pPr>
      <w:r>
        <w:rPr>
          <w:rFonts w:ascii="Times New Roman"/>
          <w:b w:val="false"/>
          <w:i w:val="false"/>
          <w:color w:val="000000"/>
          <w:sz w:val="28"/>
        </w:rPr>
        <w:t>
      1) недостижение ключевых показателей эффективности структурами Общества;</w:t>
      </w:r>
    </w:p>
    <w:bookmarkEnd w:id="94"/>
    <w:bookmarkStart w:name="z101" w:id="95"/>
    <w:p>
      <w:pPr>
        <w:spacing w:after="0"/>
        <w:ind w:left="0"/>
        <w:jc w:val="both"/>
      </w:pPr>
      <w:r>
        <w:rPr>
          <w:rFonts w:ascii="Times New Roman"/>
          <w:b w:val="false"/>
          <w:i w:val="false"/>
          <w:color w:val="000000"/>
          <w:sz w:val="28"/>
        </w:rPr>
        <w:t>
      2) рост издержек Общества из-за роста текучести кадров;</w:t>
      </w:r>
    </w:p>
    <w:bookmarkEnd w:id="95"/>
    <w:bookmarkStart w:name="z102" w:id="96"/>
    <w:p>
      <w:pPr>
        <w:spacing w:after="0"/>
        <w:ind w:left="0"/>
        <w:jc w:val="both"/>
      </w:pPr>
      <w:r>
        <w:rPr>
          <w:rFonts w:ascii="Times New Roman"/>
          <w:b w:val="false"/>
          <w:i w:val="false"/>
          <w:color w:val="000000"/>
          <w:sz w:val="28"/>
        </w:rPr>
        <w:t>
      3) недостижение операционной безубыточности;</w:t>
      </w:r>
    </w:p>
    <w:bookmarkEnd w:id="96"/>
    <w:bookmarkStart w:name="z103" w:id="97"/>
    <w:p>
      <w:pPr>
        <w:spacing w:after="0"/>
        <w:ind w:left="0"/>
        <w:jc w:val="both"/>
      </w:pPr>
      <w:r>
        <w:rPr>
          <w:rFonts w:ascii="Times New Roman"/>
          <w:b w:val="false"/>
          <w:i w:val="false"/>
          <w:color w:val="000000"/>
          <w:sz w:val="28"/>
        </w:rPr>
        <w:t>
      4) отсутствие приверженности развитию зеленых технологий;</w:t>
      </w:r>
    </w:p>
    <w:bookmarkEnd w:id="97"/>
    <w:bookmarkStart w:name="z104" w:id="98"/>
    <w:p>
      <w:pPr>
        <w:spacing w:after="0"/>
        <w:ind w:left="0"/>
        <w:jc w:val="both"/>
      </w:pPr>
      <w:r>
        <w:rPr>
          <w:rFonts w:ascii="Times New Roman"/>
          <w:b w:val="false"/>
          <w:i w:val="false"/>
          <w:color w:val="000000"/>
          <w:sz w:val="28"/>
        </w:rPr>
        <w:t>
      развитие ОРЦ:</w:t>
      </w:r>
    </w:p>
    <w:bookmarkEnd w:id="98"/>
    <w:bookmarkStart w:name="z105" w:id="99"/>
    <w:p>
      <w:pPr>
        <w:spacing w:after="0"/>
        <w:ind w:left="0"/>
        <w:jc w:val="both"/>
      </w:pPr>
      <w:r>
        <w:rPr>
          <w:rFonts w:ascii="Times New Roman"/>
          <w:b w:val="false"/>
          <w:i w:val="false"/>
          <w:color w:val="000000"/>
          <w:sz w:val="28"/>
        </w:rPr>
        <w:t>
      1) увеличение импорта аналогичной продукции на внутреннем рынке страны;</w:t>
      </w:r>
    </w:p>
    <w:bookmarkEnd w:id="99"/>
    <w:bookmarkStart w:name="z106" w:id="100"/>
    <w:p>
      <w:pPr>
        <w:spacing w:after="0"/>
        <w:ind w:left="0"/>
        <w:jc w:val="both"/>
      </w:pPr>
      <w:r>
        <w:rPr>
          <w:rFonts w:ascii="Times New Roman"/>
          <w:b w:val="false"/>
          <w:i w:val="false"/>
          <w:color w:val="000000"/>
          <w:sz w:val="28"/>
        </w:rPr>
        <w:t>
      2) дефицит мощностей по переработке, хранению, подработке, распределению продукции ввиду прогнозируемого увеличения производства;</w:t>
      </w:r>
    </w:p>
    <w:bookmarkEnd w:id="100"/>
    <w:bookmarkStart w:name="z107" w:id="101"/>
    <w:p>
      <w:pPr>
        <w:spacing w:after="0"/>
        <w:ind w:left="0"/>
        <w:jc w:val="both"/>
      </w:pPr>
      <w:r>
        <w:rPr>
          <w:rFonts w:ascii="Times New Roman"/>
          <w:b w:val="false"/>
          <w:i w:val="false"/>
          <w:color w:val="000000"/>
          <w:sz w:val="28"/>
        </w:rPr>
        <w:t>
      3) слабое структурирование рынка, в том числе недостаток профессиональных и специализированных оптовых компаний, консолидирующих и обслуживающих сделки с продовольствием, недостаток специализированных национальных логистических операторов;</w:t>
      </w:r>
    </w:p>
    <w:bookmarkEnd w:id="101"/>
    <w:bookmarkStart w:name="z108" w:id="102"/>
    <w:p>
      <w:pPr>
        <w:spacing w:after="0"/>
        <w:ind w:left="0"/>
        <w:jc w:val="both"/>
      </w:pPr>
      <w:r>
        <w:rPr>
          <w:rFonts w:ascii="Times New Roman"/>
          <w:b w:val="false"/>
          <w:i w:val="false"/>
          <w:color w:val="000000"/>
          <w:sz w:val="28"/>
        </w:rPr>
        <w:t>
      4) отсутствие сформированного государственного заказа на продовольствие.";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4.3</w:t>
      </w:r>
      <w:r>
        <w:rPr>
          <w:rFonts w:ascii="Times New Roman"/>
          <w:b w:val="false"/>
          <w:i w:val="false"/>
          <w:color w:val="000000"/>
          <w:sz w:val="28"/>
        </w:rPr>
        <w:t xml:space="preserve"> "Риски недостижения стратегических показателей" изложить в следующей редакции:</w:t>
      </w:r>
    </w:p>
    <w:bookmarkStart w:name="z110"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Риски </w:t>
      </w:r>
      <w:r>
        <w:rPr>
          <w:rFonts w:ascii="Times New Roman"/>
          <w:b/>
          <w:i w:val="false"/>
          <w:color w:val="000000"/>
          <w:sz w:val="28"/>
        </w:rPr>
        <w:t>недостижения</w:t>
      </w:r>
      <w:r>
        <w:rPr>
          <w:rFonts w:ascii="Times New Roman"/>
          <w:b/>
          <w:i w:val="false"/>
          <w:color w:val="000000"/>
          <w:sz w:val="28"/>
        </w:rPr>
        <w:t xml:space="preserve"> стратегических показателей</w:t>
      </w:r>
    </w:p>
    <w:bookmarkEnd w:id="103"/>
    <w:bookmarkStart w:name="z111" w:id="104"/>
    <w:p>
      <w:pPr>
        <w:spacing w:after="0"/>
        <w:ind w:left="0"/>
        <w:jc w:val="both"/>
      </w:pPr>
      <w:r>
        <w:rPr>
          <w:rFonts w:ascii="Times New Roman"/>
          <w:b w:val="false"/>
          <w:i w:val="false"/>
          <w:color w:val="000000"/>
          <w:sz w:val="28"/>
        </w:rPr>
        <w:t>
      С целью успешной реализации стратегии развития Общества, необходимо обеспечить достижение целевых стратегических показателей в рамках шести основных направлений деятельности:</w:t>
      </w:r>
    </w:p>
    <w:bookmarkEnd w:id="104"/>
    <w:bookmarkStart w:name="z112" w:id="105"/>
    <w:p>
      <w:pPr>
        <w:spacing w:after="0"/>
        <w:ind w:left="0"/>
        <w:jc w:val="both"/>
      </w:pPr>
      <w:r>
        <w:rPr>
          <w:rFonts w:ascii="Times New Roman"/>
          <w:b w:val="false"/>
          <w:i w:val="false"/>
          <w:color w:val="000000"/>
          <w:sz w:val="28"/>
        </w:rPr>
        <w:t xml:space="preserve">
      1) функционирование сферы "Нур-Алем", как символа нового делового центра и точки притяжения туристов: </w:t>
      </w:r>
    </w:p>
    <w:bookmarkEnd w:id="105"/>
    <w:bookmarkStart w:name="z113" w:id="106"/>
    <w:p>
      <w:pPr>
        <w:spacing w:after="0"/>
        <w:ind w:left="0"/>
        <w:jc w:val="both"/>
      </w:pPr>
      <w:r>
        <w:rPr>
          <w:rFonts w:ascii="Times New Roman"/>
          <w:b w:val="false"/>
          <w:i w:val="false"/>
          <w:color w:val="000000"/>
          <w:sz w:val="28"/>
        </w:rPr>
        <w:t>
      заполняемость сферы – достижение целевого значения посещений;</w:t>
      </w:r>
    </w:p>
    <w:bookmarkEnd w:id="106"/>
    <w:bookmarkStart w:name="z114" w:id="107"/>
    <w:p>
      <w:pPr>
        <w:spacing w:after="0"/>
        <w:ind w:left="0"/>
        <w:jc w:val="both"/>
      </w:pPr>
      <w:r>
        <w:rPr>
          <w:rFonts w:ascii="Times New Roman"/>
          <w:b w:val="false"/>
          <w:i w:val="false"/>
          <w:color w:val="000000"/>
          <w:sz w:val="28"/>
        </w:rPr>
        <w:t>
      доля дополнительного дохода – достижение целевого значения дополнительного дохода в структуре доходов Сферы;</w:t>
      </w:r>
    </w:p>
    <w:bookmarkEnd w:id="107"/>
    <w:bookmarkStart w:name="z115" w:id="108"/>
    <w:p>
      <w:pPr>
        <w:spacing w:after="0"/>
        <w:ind w:left="0"/>
        <w:jc w:val="both"/>
      </w:pPr>
      <w:r>
        <w:rPr>
          <w:rFonts w:ascii="Times New Roman"/>
          <w:b w:val="false"/>
          <w:i w:val="false"/>
          <w:color w:val="000000"/>
          <w:sz w:val="28"/>
        </w:rPr>
        <w:t xml:space="preserve">
      2) управление объектами и имуществом, включая коммерциализацию сервисных услуг: </w:t>
      </w:r>
    </w:p>
    <w:bookmarkEnd w:id="108"/>
    <w:bookmarkStart w:name="z116" w:id="109"/>
    <w:p>
      <w:pPr>
        <w:spacing w:after="0"/>
        <w:ind w:left="0"/>
        <w:jc w:val="both"/>
      </w:pPr>
      <w:r>
        <w:rPr>
          <w:rFonts w:ascii="Times New Roman"/>
          <w:b w:val="false"/>
          <w:i w:val="false"/>
          <w:color w:val="000000"/>
          <w:sz w:val="28"/>
        </w:rPr>
        <w:t>
      прибыльность деятельности по управлению коммерческой недвижимостью состоит из управления арендными ставками, обеспечения заполненности объектов и оптимизации расходов на содержание объектов;</w:t>
      </w:r>
    </w:p>
    <w:bookmarkEnd w:id="109"/>
    <w:bookmarkStart w:name="z117" w:id="110"/>
    <w:p>
      <w:pPr>
        <w:spacing w:after="0"/>
        <w:ind w:left="0"/>
        <w:jc w:val="both"/>
      </w:pPr>
      <w:r>
        <w:rPr>
          <w:rFonts w:ascii="Times New Roman"/>
          <w:b w:val="false"/>
          <w:i w:val="false"/>
          <w:color w:val="000000"/>
          <w:sz w:val="28"/>
        </w:rPr>
        <w:t>
      3) проведение КВМ и участие в международных мероприятиях:</w:t>
      </w:r>
    </w:p>
    <w:bookmarkEnd w:id="110"/>
    <w:bookmarkStart w:name="z118" w:id="111"/>
    <w:p>
      <w:pPr>
        <w:spacing w:after="0"/>
        <w:ind w:left="0"/>
        <w:jc w:val="both"/>
      </w:pPr>
      <w:r>
        <w:rPr>
          <w:rFonts w:ascii="Times New Roman"/>
          <w:b w:val="false"/>
          <w:i w:val="false"/>
          <w:color w:val="000000"/>
          <w:sz w:val="28"/>
        </w:rPr>
        <w:t>
      прибыльность деятельности в рамках направления по КВМ – состоит из управления и выбора наиболее прибыльных мероприятий;</w:t>
      </w:r>
    </w:p>
    <w:bookmarkEnd w:id="111"/>
    <w:bookmarkStart w:name="z119" w:id="112"/>
    <w:p>
      <w:pPr>
        <w:spacing w:after="0"/>
        <w:ind w:left="0"/>
        <w:jc w:val="both"/>
      </w:pPr>
      <w:r>
        <w:rPr>
          <w:rFonts w:ascii="Times New Roman"/>
          <w:b w:val="false"/>
          <w:i w:val="false"/>
          <w:color w:val="000000"/>
          <w:sz w:val="28"/>
        </w:rPr>
        <w:t>
      4) реализация инвестиционных проектов:</w:t>
      </w:r>
    </w:p>
    <w:bookmarkEnd w:id="112"/>
    <w:bookmarkStart w:name="z120" w:id="113"/>
    <w:p>
      <w:pPr>
        <w:spacing w:after="0"/>
        <w:ind w:left="0"/>
        <w:jc w:val="both"/>
      </w:pPr>
      <w:r>
        <w:rPr>
          <w:rFonts w:ascii="Times New Roman"/>
          <w:b w:val="false"/>
          <w:i w:val="false"/>
          <w:color w:val="000000"/>
          <w:sz w:val="28"/>
        </w:rPr>
        <w:t>
      успешное завершение инвестиционных проектов;</w:t>
      </w:r>
    </w:p>
    <w:bookmarkEnd w:id="113"/>
    <w:bookmarkStart w:name="z121" w:id="114"/>
    <w:p>
      <w:pPr>
        <w:spacing w:after="0"/>
        <w:ind w:left="0"/>
        <w:jc w:val="both"/>
      </w:pPr>
      <w:r>
        <w:rPr>
          <w:rFonts w:ascii="Times New Roman"/>
          <w:b w:val="false"/>
          <w:i w:val="false"/>
          <w:color w:val="000000"/>
          <w:sz w:val="28"/>
        </w:rPr>
        <w:t>
      получение целевых денежных средств;</w:t>
      </w:r>
    </w:p>
    <w:bookmarkEnd w:id="114"/>
    <w:bookmarkStart w:name="z122" w:id="115"/>
    <w:p>
      <w:pPr>
        <w:spacing w:after="0"/>
        <w:ind w:left="0"/>
        <w:jc w:val="both"/>
      </w:pPr>
      <w:r>
        <w:rPr>
          <w:rFonts w:ascii="Times New Roman"/>
          <w:b w:val="false"/>
          <w:i w:val="false"/>
          <w:color w:val="000000"/>
          <w:sz w:val="28"/>
        </w:rPr>
        <w:t>
      5) устойчивое развитие Общества:</w:t>
      </w:r>
    </w:p>
    <w:bookmarkEnd w:id="115"/>
    <w:bookmarkStart w:name="z123" w:id="116"/>
    <w:p>
      <w:pPr>
        <w:spacing w:after="0"/>
        <w:ind w:left="0"/>
        <w:jc w:val="both"/>
      </w:pPr>
      <w:r>
        <w:rPr>
          <w:rFonts w:ascii="Times New Roman"/>
          <w:b w:val="false"/>
          <w:i w:val="false"/>
          <w:color w:val="000000"/>
          <w:sz w:val="28"/>
        </w:rPr>
        <w:t>
      повышение социальной ответственности состоит из управления текучестью кадров и обеспечения максимального вовлечения персонала;</w:t>
      </w:r>
    </w:p>
    <w:bookmarkEnd w:id="116"/>
    <w:bookmarkStart w:name="z124" w:id="117"/>
    <w:p>
      <w:pPr>
        <w:spacing w:after="0"/>
        <w:ind w:left="0"/>
        <w:jc w:val="both"/>
      </w:pPr>
      <w:r>
        <w:rPr>
          <w:rFonts w:ascii="Times New Roman"/>
          <w:b w:val="false"/>
          <w:i w:val="false"/>
          <w:color w:val="000000"/>
          <w:sz w:val="28"/>
        </w:rPr>
        <w:t>
      трансформация Общества состоит из перехода к целевой модели бизнес-процессов и организационной структуры, а также внедрения оптимизированной системы показателей эффективности деятельности;</w:t>
      </w:r>
    </w:p>
    <w:bookmarkEnd w:id="117"/>
    <w:bookmarkStart w:name="z125" w:id="118"/>
    <w:p>
      <w:pPr>
        <w:spacing w:after="0"/>
        <w:ind w:left="0"/>
        <w:jc w:val="both"/>
      </w:pPr>
      <w:r>
        <w:rPr>
          <w:rFonts w:ascii="Times New Roman"/>
          <w:b w:val="false"/>
          <w:i w:val="false"/>
          <w:color w:val="000000"/>
          <w:sz w:val="28"/>
        </w:rPr>
        <w:t>
      достижение операционной безубыточности – путем обеспечения положительного EBITDA margin;</w:t>
      </w:r>
    </w:p>
    <w:bookmarkEnd w:id="118"/>
    <w:bookmarkStart w:name="z126" w:id="119"/>
    <w:p>
      <w:pPr>
        <w:spacing w:after="0"/>
        <w:ind w:left="0"/>
        <w:jc w:val="both"/>
      </w:pPr>
      <w:r>
        <w:rPr>
          <w:rFonts w:ascii="Times New Roman"/>
          <w:b w:val="false"/>
          <w:i w:val="false"/>
          <w:color w:val="000000"/>
          <w:sz w:val="28"/>
        </w:rPr>
        <w:t>
      6) Строительство и управление ОРЦ:</w:t>
      </w:r>
    </w:p>
    <w:bookmarkEnd w:id="119"/>
    <w:bookmarkStart w:name="z127" w:id="120"/>
    <w:p>
      <w:pPr>
        <w:spacing w:after="0"/>
        <w:ind w:left="0"/>
        <w:jc w:val="both"/>
      </w:pPr>
      <w:r>
        <w:rPr>
          <w:rFonts w:ascii="Times New Roman"/>
          <w:b w:val="false"/>
          <w:i w:val="false"/>
          <w:color w:val="000000"/>
          <w:sz w:val="28"/>
        </w:rPr>
        <w:t>
      получение земельных участков;</w:t>
      </w:r>
    </w:p>
    <w:bookmarkEnd w:id="120"/>
    <w:bookmarkStart w:name="z128" w:id="121"/>
    <w:p>
      <w:pPr>
        <w:spacing w:after="0"/>
        <w:ind w:left="0"/>
        <w:jc w:val="both"/>
      </w:pPr>
      <w:r>
        <w:rPr>
          <w:rFonts w:ascii="Times New Roman"/>
          <w:b w:val="false"/>
          <w:i w:val="false"/>
          <w:color w:val="000000"/>
          <w:sz w:val="28"/>
        </w:rPr>
        <w:t xml:space="preserve">
      строительство ОРЦ; </w:t>
      </w:r>
    </w:p>
    <w:bookmarkEnd w:id="121"/>
    <w:bookmarkStart w:name="z129" w:id="122"/>
    <w:p>
      <w:pPr>
        <w:spacing w:after="0"/>
        <w:ind w:left="0"/>
        <w:jc w:val="both"/>
      </w:pPr>
      <w:r>
        <w:rPr>
          <w:rFonts w:ascii="Times New Roman"/>
          <w:b w:val="false"/>
          <w:i w:val="false"/>
          <w:color w:val="000000"/>
          <w:sz w:val="28"/>
        </w:rPr>
        <w:t>
      привлечение управляющей компании на основе принципов государственно-частного партнерства.</w:t>
      </w:r>
    </w:p>
    <w:bookmarkEnd w:id="122"/>
    <w:bookmarkStart w:name="z130" w:id="123"/>
    <w:p>
      <w:pPr>
        <w:spacing w:after="0"/>
        <w:ind w:left="0"/>
        <w:jc w:val="both"/>
      </w:pPr>
      <w:r>
        <w:rPr>
          <w:rFonts w:ascii="Times New Roman"/>
          <w:b w:val="false"/>
          <w:i w:val="false"/>
          <w:color w:val="000000"/>
          <w:sz w:val="28"/>
        </w:rPr>
        <w:t>
      Существуют значительные риски недостижения данных стратегических показателей в случае нереализации стратегических инициатив. Для контроля данных рисков Обществу следует сконцентрироваться на успешном внедрении стратегических инициатив, а также оперативном мониторинге внешней среды в части изменения макроэкономической конъюнктуры, новых трендов и настроений в обществе.";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4.4</w:t>
      </w:r>
      <w:r>
        <w:rPr>
          <w:rFonts w:ascii="Times New Roman"/>
          <w:b w:val="false"/>
          <w:i w:val="false"/>
          <w:color w:val="000000"/>
          <w:sz w:val="28"/>
        </w:rPr>
        <w:t xml:space="preserve"> "Риски невыполнения действий по реализации стратегических инициатив" изложить в следующей редакции:</w:t>
      </w:r>
    </w:p>
    <w:bookmarkStart w:name="z132" w:id="124"/>
    <w:p>
      <w:pPr>
        <w:spacing w:after="0"/>
        <w:ind w:left="0"/>
        <w:jc w:val="both"/>
      </w:pPr>
      <w:r>
        <w:rPr>
          <w:rFonts w:ascii="Times New Roman"/>
          <w:b w:val="false"/>
          <w:i w:val="false"/>
          <w:color w:val="000000"/>
          <w:sz w:val="28"/>
        </w:rPr>
        <w:t xml:space="preserve">
      </w:t>
      </w:r>
      <w:r>
        <w:rPr>
          <w:rFonts w:ascii="Times New Roman"/>
          <w:b/>
          <w:i w:val="false"/>
          <w:color w:val="000000"/>
          <w:sz w:val="28"/>
        </w:rPr>
        <w:t>"4.4 Риски невыполнения действий по реализации стратегических инициатив</w:t>
      </w:r>
    </w:p>
    <w:bookmarkEnd w:id="124"/>
    <w:bookmarkStart w:name="z133" w:id="125"/>
    <w:p>
      <w:pPr>
        <w:spacing w:after="0"/>
        <w:ind w:left="0"/>
        <w:jc w:val="both"/>
      </w:pPr>
      <w:r>
        <w:rPr>
          <w:rFonts w:ascii="Times New Roman"/>
          <w:b w:val="false"/>
          <w:i w:val="false"/>
          <w:color w:val="000000"/>
          <w:sz w:val="28"/>
        </w:rPr>
        <w:t>
      В рамках актуализированной Стратегии развития Общества можно выделить шесть ключевых направлений деятельности:</w:t>
      </w:r>
    </w:p>
    <w:bookmarkEnd w:id="125"/>
    <w:bookmarkStart w:name="z134" w:id="126"/>
    <w:p>
      <w:pPr>
        <w:spacing w:after="0"/>
        <w:ind w:left="0"/>
        <w:jc w:val="both"/>
      </w:pPr>
      <w:r>
        <w:rPr>
          <w:rFonts w:ascii="Times New Roman"/>
          <w:b w:val="false"/>
          <w:i w:val="false"/>
          <w:color w:val="000000"/>
          <w:sz w:val="28"/>
        </w:rPr>
        <w:t>
      обеспечение функционирования сферы "Нур-Алем", как символа нового делового центра и точки притяжения туристов;</w:t>
      </w:r>
    </w:p>
    <w:bookmarkEnd w:id="126"/>
    <w:bookmarkStart w:name="z135" w:id="127"/>
    <w:p>
      <w:pPr>
        <w:spacing w:after="0"/>
        <w:ind w:left="0"/>
        <w:jc w:val="both"/>
      </w:pPr>
      <w:r>
        <w:rPr>
          <w:rFonts w:ascii="Times New Roman"/>
          <w:b w:val="false"/>
          <w:i w:val="false"/>
          <w:color w:val="000000"/>
          <w:sz w:val="28"/>
        </w:rPr>
        <w:t>
      управление объектами и имуществом, включая коммерциализацию сервисных услуг;</w:t>
      </w:r>
    </w:p>
    <w:bookmarkEnd w:id="127"/>
    <w:bookmarkStart w:name="z136" w:id="128"/>
    <w:p>
      <w:pPr>
        <w:spacing w:after="0"/>
        <w:ind w:left="0"/>
        <w:jc w:val="both"/>
      </w:pPr>
      <w:r>
        <w:rPr>
          <w:rFonts w:ascii="Times New Roman"/>
          <w:b w:val="false"/>
          <w:i w:val="false"/>
          <w:color w:val="000000"/>
          <w:sz w:val="28"/>
        </w:rPr>
        <w:t>
      проведение КВМ и участие в международных мероприятиях;</w:t>
      </w:r>
    </w:p>
    <w:bookmarkEnd w:id="128"/>
    <w:bookmarkStart w:name="z137" w:id="129"/>
    <w:p>
      <w:pPr>
        <w:spacing w:after="0"/>
        <w:ind w:left="0"/>
        <w:jc w:val="both"/>
      </w:pPr>
      <w:r>
        <w:rPr>
          <w:rFonts w:ascii="Times New Roman"/>
          <w:b w:val="false"/>
          <w:i w:val="false"/>
          <w:color w:val="000000"/>
          <w:sz w:val="28"/>
        </w:rPr>
        <w:t>
      реализация инвестиционных проектов;</w:t>
      </w:r>
    </w:p>
    <w:bookmarkEnd w:id="129"/>
    <w:bookmarkStart w:name="z138" w:id="130"/>
    <w:p>
      <w:pPr>
        <w:spacing w:after="0"/>
        <w:ind w:left="0"/>
        <w:jc w:val="both"/>
      </w:pPr>
      <w:r>
        <w:rPr>
          <w:rFonts w:ascii="Times New Roman"/>
          <w:b w:val="false"/>
          <w:i w:val="false"/>
          <w:color w:val="000000"/>
          <w:sz w:val="28"/>
        </w:rPr>
        <w:t>
      устойчивое развитие Общества;</w:t>
      </w:r>
    </w:p>
    <w:bookmarkEnd w:id="130"/>
    <w:bookmarkStart w:name="z139" w:id="131"/>
    <w:p>
      <w:pPr>
        <w:spacing w:after="0"/>
        <w:ind w:left="0"/>
        <w:jc w:val="both"/>
      </w:pPr>
      <w:r>
        <w:rPr>
          <w:rFonts w:ascii="Times New Roman"/>
          <w:b w:val="false"/>
          <w:i w:val="false"/>
          <w:color w:val="000000"/>
          <w:sz w:val="28"/>
        </w:rPr>
        <w:t>
      строительство и управление ОРЦ.</w:t>
      </w:r>
    </w:p>
    <w:bookmarkEnd w:id="131"/>
    <w:bookmarkStart w:name="z140" w:id="132"/>
    <w:p>
      <w:pPr>
        <w:spacing w:after="0"/>
        <w:ind w:left="0"/>
        <w:jc w:val="both"/>
      </w:pPr>
      <w:r>
        <w:rPr>
          <w:rFonts w:ascii="Times New Roman"/>
          <w:b w:val="false"/>
          <w:i w:val="false"/>
          <w:color w:val="000000"/>
          <w:sz w:val="28"/>
        </w:rPr>
        <w:t>
      В ходе реализации стратегии и развития каждого из направлений деятельности Общества существуют значительные риски их невыполнения и срыва реализации стратегических проектов.</w:t>
      </w:r>
    </w:p>
    <w:bookmarkEnd w:id="132"/>
    <w:bookmarkStart w:name="z141" w:id="133"/>
    <w:p>
      <w:pPr>
        <w:spacing w:after="0"/>
        <w:ind w:left="0"/>
        <w:jc w:val="both"/>
      </w:pPr>
      <w:r>
        <w:rPr>
          <w:rFonts w:ascii="Times New Roman"/>
          <w:b w:val="false"/>
          <w:i w:val="false"/>
          <w:color w:val="000000"/>
          <w:sz w:val="28"/>
        </w:rPr>
        <w:t>
      В рамках направления по дальнейшей деятельности сферы "Нур-Алем" можно выделить следующие риски:</w:t>
      </w:r>
    </w:p>
    <w:bookmarkEnd w:id="133"/>
    <w:bookmarkStart w:name="z142" w:id="134"/>
    <w:p>
      <w:pPr>
        <w:spacing w:after="0"/>
        <w:ind w:left="0"/>
        <w:jc w:val="both"/>
      </w:pPr>
      <w:r>
        <w:rPr>
          <w:rFonts w:ascii="Times New Roman"/>
          <w:b w:val="false"/>
          <w:i w:val="false"/>
          <w:color w:val="000000"/>
          <w:sz w:val="28"/>
        </w:rPr>
        <w:t>
      снижение посещаемости сферы "Нур-Алем" в связи с неработающими экспонатами (данный риск может быть вызван в связи с выходом из строя экспонатов музея, его можно контролировать путем внедрения процесса предиктивного технического обслуживания и ремонтов);</w:t>
      </w:r>
    </w:p>
    <w:bookmarkEnd w:id="134"/>
    <w:bookmarkStart w:name="z143" w:id="135"/>
    <w:p>
      <w:pPr>
        <w:spacing w:after="0"/>
        <w:ind w:left="0"/>
        <w:jc w:val="both"/>
      </w:pPr>
      <w:r>
        <w:rPr>
          <w:rFonts w:ascii="Times New Roman"/>
          <w:b w:val="false"/>
          <w:i w:val="false"/>
          <w:color w:val="000000"/>
          <w:sz w:val="28"/>
        </w:rPr>
        <w:t>
      снижение посещаемости сферы "Нур-Алем" в связи с некорректной работой в части маркетинга (данный риск может быть вызван в связи с некорректным выбором целевой аудитории, продвижения сферы через некорректные каналы связи, формирование контента с низким уровнем привлекательности для клиентов сферы "Нур-Алем" и др., его можно контролировать через усиление компетенций и процессов маркетинга, а также постоянную обратную связь с клиентами);</w:t>
      </w:r>
    </w:p>
    <w:bookmarkEnd w:id="135"/>
    <w:bookmarkStart w:name="z144" w:id="136"/>
    <w:p>
      <w:pPr>
        <w:spacing w:after="0"/>
        <w:ind w:left="0"/>
        <w:jc w:val="both"/>
      </w:pPr>
      <w:r>
        <w:rPr>
          <w:rFonts w:ascii="Times New Roman"/>
          <w:b w:val="false"/>
          <w:i w:val="false"/>
          <w:color w:val="000000"/>
          <w:sz w:val="28"/>
        </w:rPr>
        <w:t>
      снижение доходности сферы "Нур-Алем" в связи с некорректной ценовой политикой (данный риск может быть вызван в случае ошибок в ходе формирования ценовой политики и к тому, что не будет достигнуты цели по посещаемости, его можно контролировать через внедрение функции обратной связи с населением, анализ различных сценариев ценообразования);</w:t>
      </w:r>
    </w:p>
    <w:bookmarkEnd w:id="136"/>
    <w:bookmarkStart w:name="z145" w:id="137"/>
    <w:p>
      <w:pPr>
        <w:spacing w:after="0"/>
        <w:ind w:left="0"/>
        <w:jc w:val="both"/>
      </w:pPr>
      <w:r>
        <w:rPr>
          <w:rFonts w:ascii="Times New Roman"/>
          <w:b w:val="false"/>
          <w:i w:val="false"/>
          <w:color w:val="000000"/>
          <w:sz w:val="28"/>
        </w:rPr>
        <w:t>
      снижение среднего чека (данный риск может быть вызван при низких показателях деятельности торговых точек, например, из-за неподходящей продукции, высоких цен, неудобного для клиентов расположения и прочего, для его контроля Обществу следует корректно расположить торговые точки внутри сферы "Нур-Алем", продумать предлагаемые продукты и их ценообразование, поддерживать постоянную обратную связь с клиентами на предмет улучшения деятельности);</w:t>
      </w:r>
    </w:p>
    <w:bookmarkEnd w:id="137"/>
    <w:bookmarkStart w:name="z146" w:id="138"/>
    <w:p>
      <w:pPr>
        <w:spacing w:after="0"/>
        <w:ind w:left="0"/>
        <w:jc w:val="both"/>
      </w:pPr>
      <w:r>
        <w:rPr>
          <w:rFonts w:ascii="Times New Roman"/>
          <w:b w:val="false"/>
          <w:i w:val="false"/>
          <w:color w:val="000000"/>
          <w:sz w:val="28"/>
        </w:rPr>
        <w:t>
      повреждение сферы "Нур-Алем" и ее активов в связи с природными катаклизмами, вандализмом, преступностью и терроризмом (данный риск следует контролировать через усиление физической безопасности, усиление и постоянный контроль качества основных конструкций, заключение договоров со страховыми компаниями);</w:t>
      </w:r>
    </w:p>
    <w:bookmarkEnd w:id="138"/>
    <w:bookmarkStart w:name="z147" w:id="139"/>
    <w:p>
      <w:pPr>
        <w:spacing w:after="0"/>
        <w:ind w:left="0"/>
        <w:jc w:val="both"/>
      </w:pPr>
      <w:r>
        <w:rPr>
          <w:rFonts w:ascii="Times New Roman"/>
          <w:b w:val="false"/>
          <w:i w:val="false"/>
          <w:color w:val="000000"/>
          <w:sz w:val="28"/>
        </w:rPr>
        <w:t>
      низкий уровень посещения сферы "Нур-Алем" в связи с негативной макроэкономической ситуацией (для контроля данного риска Обществу следует внимательно отслеживать макроэкономическую ситуацию и в случае ее возникновения реагировать соответствующим образом: через акции, изменение ценообразования, маркетинг, контент и прочее).</w:t>
      </w:r>
    </w:p>
    <w:bookmarkEnd w:id="139"/>
    <w:bookmarkStart w:name="z148" w:id="140"/>
    <w:p>
      <w:pPr>
        <w:spacing w:after="0"/>
        <w:ind w:left="0"/>
        <w:jc w:val="both"/>
      </w:pPr>
      <w:r>
        <w:rPr>
          <w:rFonts w:ascii="Times New Roman"/>
          <w:b w:val="false"/>
          <w:i w:val="false"/>
          <w:color w:val="000000"/>
          <w:sz w:val="28"/>
        </w:rPr>
        <w:t xml:space="preserve">
      В рамках направления по управлению объектами и имуществом можно выделить следующие риски: </w:t>
      </w:r>
    </w:p>
    <w:bookmarkEnd w:id="140"/>
    <w:bookmarkStart w:name="z149" w:id="141"/>
    <w:p>
      <w:pPr>
        <w:spacing w:after="0"/>
        <w:ind w:left="0"/>
        <w:jc w:val="both"/>
      </w:pPr>
      <w:r>
        <w:rPr>
          <w:rFonts w:ascii="Times New Roman"/>
          <w:b w:val="false"/>
          <w:i w:val="false"/>
          <w:color w:val="000000"/>
          <w:sz w:val="28"/>
        </w:rPr>
        <w:t>
      повреждение объектов в связи с природными катаклизмами, вандализмом, преступностью и терроризмом (данный риск следует контролировать через усиление физической безопасности, усиление и постоянный контроль качества основных конструкций, заключение договоров со страховыми компаниями);</w:t>
      </w:r>
    </w:p>
    <w:bookmarkEnd w:id="141"/>
    <w:bookmarkStart w:name="z150" w:id="142"/>
    <w:p>
      <w:pPr>
        <w:spacing w:after="0"/>
        <w:ind w:left="0"/>
        <w:jc w:val="both"/>
      </w:pPr>
      <w:r>
        <w:rPr>
          <w:rFonts w:ascii="Times New Roman"/>
          <w:b w:val="false"/>
          <w:i w:val="false"/>
          <w:color w:val="000000"/>
          <w:sz w:val="28"/>
        </w:rPr>
        <w:t>
      срывы сроков и бюджетов на реконструкцию объектов. Это может привести к снижению репутации, потере клиентов, финансовым расходам (для контроля данного риска Обществу следует усилить функцию по управлению проектами и для более эффективного, прозрачного и оперативного процесса реконструкции);</w:t>
      </w:r>
    </w:p>
    <w:bookmarkEnd w:id="142"/>
    <w:bookmarkStart w:name="z151" w:id="143"/>
    <w:p>
      <w:pPr>
        <w:spacing w:after="0"/>
        <w:ind w:left="0"/>
        <w:jc w:val="both"/>
      </w:pPr>
      <w:r>
        <w:rPr>
          <w:rFonts w:ascii="Times New Roman"/>
          <w:b w:val="false"/>
          <w:i w:val="false"/>
          <w:color w:val="000000"/>
          <w:sz w:val="28"/>
        </w:rPr>
        <w:t>
      низкий уровень качества зданий в связи со срывами сроков, бюджетов и качества. Это в свою очередь может привести к нежеланию клиентов вести свою деятельность в рамках объектов Общества, снижению заполняемости и негативным финансовым результатам (для контроля данного риска Обществу следует усилить функцию по управлению проектами и для более эффективного, прозрачного и оперативного процесса реконструкции);</w:t>
      </w:r>
    </w:p>
    <w:bookmarkEnd w:id="143"/>
    <w:bookmarkStart w:name="z152" w:id="144"/>
    <w:p>
      <w:pPr>
        <w:spacing w:after="0"/>
        <w:ind w:left="0"/>
        <w:jc w:val="both"/>
      </w:pPr>
      <w:r>
        <w:rPr>
          <w:rFonts w:ascii="Times New Roman"/>
          <w:b w:val="false"/>
          <w:i w:val="false"/>
          <w:color w:val="000000"/>
          <w:sz w:val="28"/>
        </w:rPr>
        <w:t>
      потеря якорных арендаторов в ходе процессов по согласованию условий или изменению условий по их деятельности (с целью контроля данного риска Обществу следует усилить функцию по взаимодействию с якорными арендаторами и их учредителями в лице государственных структур и ускорению подписания договора с наиболее приемлемыми для Общества условиями);</w:t>
      </w:r>
    </w:p>
    <w:bookmarkEnd w:id="144"/>
    <w:bookmarkStart w:name="z153" w:id="145"/>
    <w:p>
      <w:pPr>
        <w:spacing w:after="0"/>
        <w:ind w:left="0"/>
        <w:jc w:val="both"/>
      </w:pPr>
      <w:r>
        <w:rPr>
          <w:rFonts w:ascii="Times New Roman"/>
          <w:b w:val="false"/>
          <w:i w:val="false"/>
          <w:color w:val="000000"/>
          <w:sz w:val="28"/>
        </w:rPr>
        <w:t>
      незаполнение коммерческих объектов в связи со слабой функцией маркетинга или низким качеством объектов. Это может привести к негативным финансовым результатам для Общества (с целью контроля данного риска Обществу следует усилить функцию маркетинга и управления проектами по реконструкции);</w:t>
      </w:r>
    </w:p>
    <w:bookmarkEnd w:id="145"/>
    <w:bookmarkStart w:name="z154" w:id="146"/>
    <w:p>
      <w:pPr>
        <w:spacing w:after="0"/>
        <w:ind w:left="0"/>
        <w:jc w:val="both"/>
      </w:pPr>
      <w:r>
        <w:rPr>
          <w:rFonts w:ascii="Times New Roman"/>
          <w:b w:val="false"/>
          <w:i w:val="false"/>
          <w:color w:val="000000"/>
          <w:sz w:val="28"/>
        </w:rPr>
        <w:t>
      давление в части арендных ставок и заполняемости ввиду избытка предложения и недостатка спроса на коммерческую недвижимость. Это в свою очередь может привести к негативным финансовым результатам деятельности Общества (для контроля данного риска Обществу следует усилить функцию по мониторингу состояния рынка и в случае необходимости в оперативном порядке менять условия для арендаторов с целью выравнивания своего предложения с текущими рыночными реалиями).</w:t>
      </w:r>
    </w:p>
    <w:bookmarkEnd w:id="146"/>
    <w:bookmarkStart w:name="z155" w:id="147"/>
    <w:p>
      <w:pPr>
        <w:spacing w:after="0"/>
        <w:ind w:left="0"/>
        <w:jc w:val="both"/>
      </w:pPr>
      <w:r>
        <w:rPr>
          <w:rFonts w:ascii="Times New Roman"/>
          <w:b w:val="false"/>
          <w:i w:val="false"/>
          <w:color w:val="000000"/>
          <w:sz w:val="28"/>
        </w:rPr>
        <w:t>
      В рамках деятельности по проведению КВМ можно выделить следующие риски:</w:t>
      </w:r>
    </w:p>
    <w:bookmarkEnd w:id="147"/>
    <w:bookmarkStart w:name="z156" w:id="148"/>
    <w:p>
      <w:pPr>
        <w:spacing w:after="0"/>
        <w:ind w:left="0"/>
        <w:jc w:val="both"/>
      </w:pPr>
      <w:r>
        <w:rPr>
          <w:rFonts w:ascii="Times New Roman"/>
          <w:b w:val="false"/>
          <w:i w:val="false"/>
          <w:color w:val="000000"/>
          <w:sz w:val="28"/>
        </w:rPr>
        <w:t>
      потеря крупных государственных КВМ в случае срыва реализации государственного задания. Это может привести к негативным финансовым результатам Общества и низкой загруженности объектов (для контроля данного риска Обществу следует сконцентрироваться на изучении юридических аспектов данного вопроса, а также обеспечить вовлечение и согласование всех заинтересованных сторон);</w:t>
      </w:r>
    </w:p>
    <w:bookmarkEnd w:id="148"/>
    <w:bookmarkStart w:name="z157" w:id="149"/>
    <w:p>
      <w:pPr>
        <w:spacing w:after="0"/>
        <w:ind w:left="0"/>
        <w:jc w:val="both"/>
      </w:pPr>
      <w:r>
        <w:rPr>
          <w:rFonts w:ascii="Times New Roman"/>
          <w:b w:val="false"/>
          <w:i w:val="false"/>
          <w:color w:val="000000"/>
          <w:sz w:val="28"/>
        </w:rPr>
        <w:t>
      срыв проводимых мероприятий в части плохой организации (для контроля данного риска Обществу следует усилить функцию по управлению и сопровождению мероприятий);</w:t>
      </w:r>
    </w:p>
    <w:bookmarkEnd w:id="149"/>
    <w:bookmarkStart w:name="z158" w:id="150"/>
    <w:p>
      <w:pPr>
        <w:spacing w:after="0"/>
        <w:ind w:left="0"/>
        <w:jc w:val="both"/>
      </w:pPr>
      <w:r>
        <w:rPr>
          <w:rFonts w:ascii="Times New Roman"/>
          <w:b w:val="false"/>
          <w:i w:val="false"/>
          <w:color w:val="000000"/>
          <w:sz w:val="28"/>
        </w:rPr>
        <w:t>
      финансовые убытки направления по аренде выставочных площадей в случае привлечения малого количества клиентов и возникновения трудностей в заключении стратегических партнерств (для контроля данного риска Обществу следует усилить функцию маркетинга, а также обеспечить высокий уровень процесса ведения переговоров с ключевыми игроками на рынке и клиентами, уровень качества выставочных площадей, соответствующий их потребностям).</w:t>
      </w:r>
    </w:p>
    <w:bookmarkEnd w:id="150"/>
    <w:bookmarkStart w:name="z159" w:id="151"/>
    <w:p>
      <w:pPr>
        <w:spacing w:after="0"/>
        <w:ind w:left="0"/>
        <w:jc w:val="both"/>
      </w:pPr>
      <w:r>
        <w:rPr>
          <w:rFonts w:ascii="Times New Roman"/>
          <w:b w:val="false"/>
          <w:i w:val="false"/>
          <w:color w:val="000000"/>
          <w:sz w:val="28"/>
        </w:rPr>
        <w:t>
      В рамках деятельности по завершению инвестиционных проектов можно выделить следующие риски:</w:t>
      </w:r>
    </w:p>
    <w:bookmarkEnd w:id="151"/>
    <w:bookmarkStart w:name="z160" w:id="152"/>
    <w:p>
      <w:pPr>
        <w:spacing w:after="0"/>
        <w:ind w:left="0"/>
        <w:jc w:val="both"/>
      </w:pPr>
      <w:r>
        <w:rPr>
          <w:rFonts w:ascii="Times New Roman"/>
          <w:b w:val="false"/>
          <w:i w:val="false"/>
          <w:color w:val="000000"/>
          <w:sz w:val="28"/>
        </w:rPr>
        <w:t>
      срыв реализации инвестиционных проектов в связи со срывом переговоров с инвесторами (для контроля данного риска Обществу следует внедрить процесс по управлению взаимоотношениями с заинтересованными лицами);</w:t>
      </w:r>
    </w:p>
    <w:bookmarkEnd w:id="152"/>
    <w:bookmarkStart w:name="z161" w:id="153"/>
    <w:p>
      <w:pPr>
        <w:spacing w:after="0"/>
        <w:ind w:left="0"/>
        <w:jc w:val="both"/>
      </w:pPr>
      <w:r>
        <w:rPr>
          <w:rFonts w:ascii="Times New Roman"/>
          <w:b w:val="false"/>
          <w:i w:val="false"/>
          <w:color w:val="000000"/>
          <w:sz w:val="28"/>
        </w:rPr>
        <w:t>
      срыв реализации инвестиционных проектов в связи со срывом реализации инвестиционных проектов в части сроков, объема и бюджетов проекта (для контроля данного риска Обществу следует внедрить эффективную функцию по сопровождению и управлению инвестиционными проектами);</w:t>
      </w:r>
    </w:p>
    <w:bookmarkEnd w:id="153"/>
    <w:bookmarkStart w:name="z162" w:id="154"/>
    <w:p>
      <w:pPr>
        <w:spacing w:after="0"/>
        <w:ind w:left="0"/>
        <w:jc w:val="both"/>
      </w:pPr>
      <w:r>
        <w:rPr>
          <w:rFonts w:ascii="Times New Roman"/>
          <w:b w:val="false"/>
          <w:i w:val="false"/>
          <w:color w:val="000000"/>
          <w:sz w:val="28"/>
        </w:rPr>
        <w:t>
      недополучение средств от инвестиционных проектов в связи с ухудшением экономических показателей партнеров (для контроля данного риска Обществу следует проработать механизмы по снижению рисков в виде страхования, совершенствования договоров, залога активов на случай банкротства).</w:t>
      </w:r>
    </w:p>
    <w:bookmarkEnd w:id="154"/>
    <w:bookmarkStart w:name="z163" w:id="155"/>
    <w:p>
      <w:pPr>
        <w:spacing w:after="0"/>
        <w:ind w:left="0"/>
        <w:jc w:val="both"/>
      </w:pPr>
      <w:r>
        <w:rPr>
          <w:rFonts w:ascii="Times New Roman"/>
          <w:b w:val="false"/>
          <w:i w:val="false"/>
          <w:color w:val="000000"/>
          <w:sz w:val="28"/>
        </w:rPr>
        <w:t>
      В рамках деятельности по устойчивому развитию Общества можно выделить следующие риски:</w:t>
      </w:r>
    </w:p>
    <w:bookmarkEnd w:id="155"/>
    <w:bookmarkStart w:name="z164" w:id="156"/>
    <w:p>
      <w:pPr>
        <w:spacing w:after="0"/>
        <w:ind w:left="0"/>
        <w:jc w:val="both"/>
      </w:pPr>
      <w:r>
        <w:rPr>
          <w:rFonts w:ascii="Times New Roman"/>
          <w:b w:val="false"/>
          <w:i w:val="false"/>
          <w:color w:val="000000"/>
          <w:sz w:val="28"/>
        </w:rPr>
        <w:t>
      отсутствие приверженности развитию зеленых технологий в Обществе (данный риск будет управляться регулярным мониторингом и изучением мировых тенденций в сфере зеленых технологий, и при целесообразности с внедрением новейших технологий в Обществе);</w:t>
      </w:r>
    </w:p>
    <w:bookmarkEnd w:id="156"/>
    <w:bookmarkStart w:name="z165" w:id="157"/>
    <w:p>
      <w:pPr>
        <w:spacing w:after="0"/>
        <w:ind w:left="0"/>
        <w:jc w:val="both"/>
      </w:pPr>
      <w:r>
        <w:rPr>
          <w:rFonts w:ascii="Times New Roman"/>
          <w:b w:val="false"/>
          <w:i w:val="false"/>
          <w:color w:val="000000"/>
          <w:sz w:val="28"/>
        </w:rPr>
        <w:t>
      сложности в принятии усовершенствованной модели бизнес-процессов и организационной структуры со стороны коллектива (этот риск будет управляться путем определения скорости и последовательности своих действий и подготовки персонала к изменениям);</w:t>
      </w:r>
    </w:p>
    <w:bookmarkEnd w:id="157"/>
    <w:bookmarkStart w:name="z166" w:id="158"/>
    <w:p>
      <w:pPr>
        <w:spacing w:after="0"/>
        <w:ind w:left="0"/>
        <w:jc w:val="both"/>
      </w:pPr>
      <w:r>
        <w:rPr>
          <w:rFonts w:ascii="Times New Roman"/>
          <w:b w:val="false"/>
          <w:i w:val="false"/>
          <w:color w:val="000000"/>
          <w:sz w:val="28"/>
        </w:rPr>
        <w:t>
      необходимость увеличения штата и соответственно издержек (этот риск будет управляться путем эффективного планирования структуры, численности персонала и затрат, и ежегодного их утверждения);</w:t>
      </w:r>
    </w:p>
    <w:bookmarkEnd w:id="158"/>
    <w:bookmarkStart w:name="z167" w:id="159"/>
    <w:p>
      <w:pPr>
        <w:spacing w:after="0"/>
        <w:ind w:left="0"/>
        <w:jc w:val="both"/>
      </w:pPr>
      <w:r>
        <w:rPr>
          <w:rFonts w:ascii="Times New Roman"/>
          <w:b w:val="false"/>
          <w:i w:val="false"/>
          <w:color w:val="000000"/>
          <w:sz w:val="28"/>
        </w:rPr>
        <w:t>
      увеличение текучести кадров ввиду различных причин, к примеру изменений в операционной модели и организационной структуры, снижения репутации Общества, и т.д. (данный риск необходимо управлять путем ежегодного мониторинга текучести кадров, стимулирования и мотивации персонала, управления репутационных рисков, управления процессом внедрения усовершенствованной модели бизнес-процессов и организационной структуры, регулирования прочих рисков и т.д);</w:t>
      </w:r>
    </w:p>
    <w:bookmarkEnd w:id="159"/>
    <w:bookmarkStart w:name="z168" w:id="160"/>
    <w:p>
      <w:pPr>
        <w:spacing w:after="0"/>
        <w:ind w:left="0"/>
        <w:jc w:val="both"/>
      </w:pPr>
      <w:r>
        <w:rPr>
          <w:rFonts w:ascii="Times New Roman"/>
          <w:b w:val="false"/>
          <w:i w:val="false"/>
          <w:color w:val="000000"/>
          <w:sz w:val="28"/>
        </w:rPr>
        <w:t>
      недостижение операционной безубыточности Общества (данный риск будет управляться путем реализации всех стратегических инициатив, контроля и мониторинга достижения всех стратегических КПД, управления рисков во всех стратегических направлениях);</w:t>
      </w:r>
    </w:p>
    <w:bookmarkEnd w:id="160"/>
    <w:bookmarkStart w:name="z169" w:id="161"/>
    <w:p>
      <w:pPr>
        <w:spacing w:after="0"/>
        <w:ind w:left="0"/>
        <w:jc w:val="both"/>
      </w:pPr>
      <w:r>
        <w:rPr>
          <w:rFonts w:ascii="Times New Roman"/>
          <w:b w:val="false"/>
          <w:i w:val="false"/>
          <w:color w:val="000000"/>
          <w:sz w:val="28"/>
        </w:rPr>
        <w:t>
      недостижение ключевых показателей эффективности структурами Общества (данный риск будет управляться путем ежегодного контроля и мониторинга КПД, повышения мотивации и социальной ответственности при ведении бизнеса).</w:t>
      </w:r>
    </w:p>
    <w:bookmarkEnd w:id="161"/>
    <w:bookmarkStart w:name="z170" w:id="162"/>
    <w:p>
      <w:pPr>
        <w:spacing w:after="0"/>
        <w:ind w:left="0"/>
        <w:jc w:val="both"/>
      </w:pPr>
      <w:r>
        <w:rPr>
          <w:rFonts w:ascii="Times New Roman"/>
          <w:b w:val="false"/>
          <w:i w:val="false"/>
          <w:color w:val="000000"/>
          <w:sz w:val="28"/>
        </w:rPr>
        <w:t>
      В рамках направления по строительству и управлению ОРЦ можно выделить следующие риски:</w:t>
      </w:r>
    </w:p>
    <w:bookmarkEnd w:id="162"/>
    <w:bookmarkStart w:name="z171" w:id="163"/>
    <w:p>
      <w:pPr>
        <w:spacing w:after="0"/>
        <w:ind w:left="0"/>
        <w:jc w:val="both"/>
      </w:pPr>
      <w:r>
        <w:rPr>
          <w:rFonts w:ascii="Times New Roman"/>
          <w:b w:val="false"/>
          <w:i w:val="false"/>
          <w:color w:val="000000"/>
          <w:sz w:val="28"/>
        </w:rPr>
        <w:t>
      недостижение ключевых показателей эффективности по своевременному завершению строительства и ввода в эксплуатацию ОРЦ (данный риск будет управляться путем регулярного контроля и мониторинга строительных работ);</w:t>
      </w:r>
    </w:p>
    <w:bookmarkEnd w:id="163"/>
    <w:bookmarkStart w:name="z172" w:id="164"/>
    <w:p>
      <w:pPr>
        <w:spacing w:after="0"/>
        <w:ind w:left="0"/>
        <w:jc w:val="both"/>
      </w:pPr>
      <w:r>
        <w:rPr>
          <w:rFonts w:ascii="Times New Roman"/>
          <w:b w:val="false"/>
          <w:i w:val="false"/>
          <w:color w:val="000000"/>
          <w:sz w:val="28"/>
        </w:rPr>
        <w:t>
      привлечение недостаточно квалифицированной компании для управления ОРЦ (данный риск будет управляться путем анализа и мониторинга рынка по выбору управляющих компаний).</w:t>
      </w:r>
    </w:p>
    <w:bookmarkEnd w:id="164"/>
    <w:bookmarkStart w:name="z173" w:id="165"/>
    <w:p>
      <w:pPr>
        <w:spacing w:after="0"/>
        <w:ind w:left="0"/>
        <w:jc w:val="both"/>
      </w:pPr>
      <w:r>
        <w:rPr>
          <w:rFonts w:ascii="Times New Roman"/>
          <w:b w:val="false"/>
          <w:i w:val="false"/>
          <w:color w:val="000000"/>
          <w:sz w:val="28"/>
        </w:rPr>
        <w:t>
      Для управления данными рисками Обществу необходимо обеспечить наличие необходимых компетенций и структурных подразделений для развития практик управления проектами, мониторинга реализации стратегических инициатив и отслеживания конъюнктуры рынка.";</w:t>
      </w:r>
    </w:p>
    <w:bookmarkEnd w:id="165"/>
    <w:bookmarkStart w:name="z174" w:id="16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"QazExpoCongress"</w:t>
            </w:r>
            <w:r>
              <w:br/>
            </w:r>
            <w:r>
              <w:rPr>
                <w:rFonts w:ascii="Times New Roman"/>
                <w:b w:val="false"/>
                <w:i w:val="false"/>
                <w:color w:val="000000"/>
                <w:sz w:val="20"/>
              </w:rPr>
              <w:t>на 2015 – 2024 годы";</w:t>
            </w:r>
          </w:p>
        </w:tc>
      </w:tr>
    </w:tbl>
    <w:bookmarkStart w:name="z176" w:id="167"/>
    <w:p>
      <w:pPr>
        <w:spacing w:after="0"/>
        <w:ind w:left="0"/>
        <w:jc w:val="both"/>
      </w:pPr>
      <w:r>
        <w:rPr>
          <w:rFonts w:ascii="Times New Roman"/>
          <w:b w:val="false"/>
          <w:i w:val="false"/>
          <w:color w:val="000000"/>
          <w:sz w:val="28"/>
        </w:rPr>
        <w:t>
      приложение 1 к Стратегии развития акционерного общества "Национальная компания "Астана ЭКСПО-2017" на 2015 – 2024 годы дополнить разделом следующего содержания:</w:t>
      </w:r>
    </w:p>
    <w:bookmarkEnd w:id="167"/>
    <w:bookmarkStart w:name="z177" w:id="168"/>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внешней среды</w:t>
      </w:r>
    </w:p>
    <w:bookmarkEnd w:id="168"/>
    <w:bookmarkStart w:name="z178" w:id="169"/>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Мировой опыт организации и функционирования ОРЦ</w:t>
      </w:r>
    </w:p>
    <w:bookmarkEnd w:id="169"/>
    <w:bookmarkStart w:name="z179" w:id="170"/>
    <w:p>
      <w:pPr>
        <w:spacing w:after="0"/>
        <w:ind w:left="0"/>
        <w:jc w:val="both"/>
      </w:pPr>
      <w:r>
        <w:rPr>
          <w:rFonts w:ascii="Times New Roman"/>
          <w:b w:val="false"/>
          <w:i w:val="false"/>
          <w:color w:val="000000"/>
          <w:sz w:val="28"/>
        </w:rPr>
        <w:t xml:space="preserve">
      Как показывает мировой опыт, создание товаропроводящей инфраструктуры, состоящей из оптовых сельскохозяйственных рынков, обеспечивает свободный доступ сельхозтоваропроизводителям к рынкам сбыта, гарантирует сохранность и необходимую предпродажную подготовку, обработку продукции, позволяет повысить качество продукции и своевременную ее реализацию. </w:t>
      </w:r>
    </w:p>
    <w:bookmarkEnd w:id="170"/>
    <w:bookmarkStart w:name="z180" w:id="171"/>
    <w:p>
      <w:pPr>
        <w:spacing w:after="0"/>
        <w:ind w:left="0"/>
        <w:jc w:val="both"/>
      </w:pPr>
      <w:r>
        <w:rPr>
          <w:rFonts w:ascii="Times New Roman"/>
          <w:b w:val="false"/>
          <w:i w:val="false"/>
          <w:color w:val="000000"/>
          <w:sz w:val="28"/>
        </w:rPr>
        <w:t>
      Одними из стран по созданию успешных и эффективных сельскохозяйственных рынков являются, Франция – рынок "Rungis" (Ранжис), Испания – сеть оптовых рынков "Mercasa" (Меркаса) и Польша – оптовый рынок "Bronisze" (Бронише).</w:t>
      </w:r>
    </w:p>
    <w:bookmarkEnd w:id="171"/>
    <w:bookmarkStart w:name="z181" w:id="172"/>
    <w:p>
      <w:pPr>
        <w:spacing w:after="0"/>
        <w:ind w:left="0"/>
        <w:jc w:val="both"/>
      </w:pPr>
      <w:r>
        <w:rPr>
          <w:rFonts w:ascii="Times New Roman"/>
          <w:b w:val="false"/>
          <w:i w:val="false"/>
          <w:color w:val="000000"/>
          <w:sz w:val="28"/>
        </w:rPr>
        <w:t xml:space="preserve">
      Французский рынок является крупнейшим ОРЦ сельхозпродукции и продовольствия в мире. Испанская "Mercasa" (Меркаса), является примером создания единой государственной сети ОРЦ, покрывающей территорию всей страны, в то время как рынок "Bronisze" (Бронише) – пример реализации ОРЦ в Восточной Европе. </w:t>
      </w:r>
    </w:p>
    <w:bookmarkEnd w:id="172"/>
    <w:bookmarkStart w:name="z182" w:id="173"/>
    <w:p>
      <w:pPr>
        <w:spacing w:after="0"/>
        <w:ind w:left="0"/>
        <w:jc w:val="both"/>
      </w:pPr>
      <w:r>
        <w:rPr>
          <w:rFonts w:ascii="Times New Roman"/>
          <w:b w:val="false"/>
          <w:i w:val="false"/>
          <w:color w:val="000000"/>
          <w:sz w:val="28"/>
        </w:rPr>
        <w:t xml:space="preserve">
      </w:t>
      </w:r>
      <w:r>
        <w:rPr>
          <w:rFonts w:ascii="Times New Roman"/>
          <w:b/>
          <w:i w:val="false"/>
          <w:color w:val="000000"/>
          <w:sz w:val="28"/>
        </w:rPr>
        <w:t>Рынок "</w:t>
      </w:r>
      <w:r>
        <w:rPr>
          <w:rFonts w:ascii="Times New Roman"/>
          <w:b/>
          <w:i w:val="false"/>
          <w:color w:val="000000"/>
          <w:sz w:val="28"/>
        </w:rPr>
        <w:t>Rungis</w:t>
      </w:r>
      <w:r>
        <w:rPr>
          <w:rFonts w:ascii="Times New Roman"/>
          <w:b/>
          <w:i w:val="false"/>
          <w:color w:val="000000"/>
          <w:sz w:val="28"/>
        </w:rPr>
        <w:t>" (</w:t>
      </w:r>
      <w:r>
        <w:rPr>
          <w:rFonts w:ascii="Times New Roman"/>
          <w:b/>
          <w:i w:val="false"/>
          <w:color w:val="000000"/>
          <w:sz w:val="28"/>
        </w:rPr>
        <w:t>Ранжис</w:t>
      </w:r>
      <w:r>
        <w:rPr>
          <w:rFonts w:ascii="Times New Roman"/>
          <w:b/>
          <w:i w:val="false"/>
          <w:color w:val="000000"/>
          <w:sz w:val="28"/>
        </w:rPr>
        <w:t>), Франция</w:t>
      </w:r>
    </w:p>
    <w:bookmarkEnd w:id="173"/>
    <w:bookmarkStart w:name="z183" w:id="174"/>
    <w:p>
      <w:pPr>
        <w:spacing w:after="0"/>
        <w:ind w:left="0"/>
        <w:jc w:val="both"/>
      </w:pPr>
      <w:r>
        <w:rPr>
          <w:rFonts w:ascii="Times New Roman"/>
          <w:b w:val="false"/>
          <w:i w:val="false"/>
          <w:color w:val="000000"/>
          <w:sz w:val="28"/>
        </w:rPr>
        <w:t xml:space="preserve">
      Рынок "Rungis" (Ранжис) был создан в 1969 году на базе центрального рынка города. </w:t>
      </w:r>
    </w:p>
    <w:bookmarkEnd w:id="174"/>
    <w:bookmarkStart w:name="z184" w:id="175"/>
    <w:p>
      <w:pPr>
        <w:spacing w:after="0"/>
        <w:ind w:left="0"/>
        <w:jc w:val="both"/>
      </w:pPr>
      <w:r>
        <w:rPr>
          <w:rFonts w:ascii="Times New Roman"/>
          <w:b w:val="false"/>
          <w:i w:val="false"/>
          <w:color w:val="000000"/>
          <w:sz w:val="28"/>
        </w:rPr>
        <w:t xml:space="preserve">
      На сегодняшний день он является крупнейшим рынком свежих продуктов в мире: в 2018 году его оборот составил 1,7 млн. тонн различных продовольственных товаров. Охват населения рынком – 18 млн. человек (в том числе 10,6 млн. человек населения парижской агломерации). 10% товаров отправляются на экспорт. Крупнейший рынок во Франции как по территории (свыше 1 млн. кв. метров торговых площадей, 234 га земли), так и по обороту денежных средств порядка 9,0 млрд. евро в год. </w:t>
      </w:r>
    </w:p>
    <w:bookmarkEnd w:id="175"/>
    <w:bookmarkStart w:name="z185" w:id="176"/>
    <w:p>
      <w:pPr>
        <w:spacing w:after="0"/>
        <w:ind w:left="0"/>
        <w:jc w:val="both"/>
      </w:pPr>
      <w:r>
        <w:rPr>
          <w:rFonts w:ascii="Times New Roman"/>
          <w:b w:val="false"/>
          <w:i w:val="false"/>
          <w:color w:val="000000"/>
          <w:sz w:val="28"/>
        </w:rPr>
        <w:t>
      Рынок создает около 12 тысяч рабочих мест, гарантируя долгосрочную занятость и достойную оплату труда граждан. На территории рынка организован специальный центр занятости, который помогает участникам рынка подобрать и обучить необходимый персонал. Проект поддерживается региональными органами власти.</w:t>
      </w:r>
    </w:p>
    <w:bookmarkEnd w:id="176"/>
    <w:bookmarkStart w:name="z186" w:id="177"/>
    <w:p>
      <w:pPr>
        <w:spacing w:after="0"/>
        <w:ind w:left="0"/>
        <w:jc w:val="both"/>
      </w:pPr>
      <w:r>
        <w:rPr>
          <w:rFonts w:ascii="Times New Roman"/>
          <w:b w:val="false"/>
          <w:i w:val="false"/>
          <w:color w:val="000000"/>
          <w:sz w:val="28"/>
        </w:rPr>
        <w:t xml:space="preserve">
      </w:t>
      </w:r>
      <w:r>
        <w:rPr>
          <w:rFonts w:ascii="Times New Roman"/>
          <w:b/>
          <w:i w:val="false"/>
          <w:color w:val="000000"/>
          <w:sz w:val="28"/>
        </w:rPr>
        <w:t>Рынок "</w:t>
      </w:r>
      <w:r>
        <w:rPr>
          <w:rFonts w:ascii="Times New Roman"/>
          <w:b/>
          <w:i w:val="false"/>
          <w:color w:val="000000"/>
          <w:sz w:val="28"/>
        </w:rPr>
        <w:t>Mercasa</w:t>
      </w:r>
      <w:r>
        <w:rPr>
          <w:rFonts w:ascii="Times New Roman"/>
          <w:b/>
          <w:i w:val="false"/>
          <w:color w:val="000000"/>
          <w:sz w:val="28"/>
        </w:rPr>
        <w:t>" (</w:t>
      </w:r>
      <w:r>
        <w:rPr>
          <w:rFonts w:ascii="Times New Roman"/>
          <w:b/>
          <w:i w:val="false"/>
          <w:color w:val="000000"/>
          <w:sz w:val="28"/>
        </w:rPr>
        <w:t>Меркаса</w:t>
      </w:r>
      <w:r>
        <w:rPr>
          <w:rFonts w:ascii="Times New Roman"/>
          <w:b/>
          <w:i w:val="false"/>
          <w:color w:val="000000"/>
          <w:sz w:val="28"/>
        </w:rPr>
        <w:t>), Испания</w:t>
      </w:r>
    </w:p>
    <w:bookmarkEnd w:id="177"/>
    <w:bookmarkStart w:name="z187" w:id="178"/>
    <w:p>
      <w:pPr>
        <w:spacing w:after="0"/>
        <w:ind w:left="0"/>
        <w:jc w:val="both"/>
      </w:pPr>
      <w:r>
        <w:rPr>
          <w:rFonts w:ascii="Times New Roman"/>
          <w:b w:val="false"/>
          <w:i w:val="false"/>
          <w:color w:val="000000"/>
          <w:sz w:val="28"/>
        </w:rPr>
        <w:t xml:space="preserve">
      Испанская национальная сеть оптовых продуктовых рынков основана в 1965 году. Создание сети в значительной степени финансировалось государством (министерство финансов и министерство сельского хозяйства, питания и окружающей среды) и муниципалитетами. Сегодня это государственная публичная компания, акционерами которой являются государственный холдинг SEPI и Министерство сельского хозяйства, продовольствия и окружающей среды. </w:t>
      </w:r>
    </w:p>
    <w:bookmarkEnd w:id="178"/>
    <w:bookmarkStart w:name="z188" w:id="17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Mercasa</w:t>
      </w:r>
      <w:r>
        <w:rPr>
          <w:rFonts w:ascii="Times New Roman"/>
          <w:b/>
          <w:i w:val="false"/>
          <w:color w:val="000000"/>
          <w:sz w:val="28"/>
        </w:rPr>
        <w:t>"</w:t>
      </w:r>
      <w:r>
        <w:rPr>
          <w:rFonts w:ascii="Times New Roman"/>
          <w:b w:val="false"/>
          <w:i w:val="false"/>
          <w:color w:val="000000"/>
          <w:sz w:val="28"/>
        </w:rPr>
        <w:t xml:space="preserve"> (Меркаса) выполняет функцию государства по повышению прозрачности рынка, стимулированию здоровой конкуренции и контролю безопасности пищевых продуктов.</w:t>
      </w:r>
    </w:p>
    <w:bookmarkEnd w:id="179"/>
    <w:bookmarkStart w:name="z189" w:id="180"/>
    <w:p>
      <w:pPr>
        <w:spacing w:after="0"/>
        <w:ind w:left="0"/>
        <w:jc w:val="both"/>
      </w:pPr>
      <w:r>
        <w:rPr>
          <w:rFonts w:ascii="Times New Roman"/>
          <w:b w:val="false"/>
          <w:i w:val="false"/>
          <w:color w:val="000000"/>
          <w:sz w:val="28"/>
        </w:rPr>
        <w:t>
      Сеть включает в себя 23 сельскохозяйственных рынка, охватывающих всю территорию Испании. 23 рынка сети занимают площадь 7 млн. м2, ежегодный объем сбыта продукции – 5 130,0 тыс. тонн, в том числе 4 362,0 тыс. тонн фруктов и овощей, 768,5 тыс. тонн мясной и рыбной продукции. Сеть обеспечивает потребности 3600 арендаторов, из которых 32% занимаются плодоовощной продукцией, 12,5% – рыбной продукцией и морепродуктами, 8,2% – мясной продукцией, 3% – цветочной и 44% – другими видами.</w:t>
      </w:r>
    </w:p>
    <w:bookmarkEnd w:id="180"/>
    <w:bookmarkStart w:name="z190" w:id="181"/>
    <w:p>
      <w:pPr>
        <w:spacing w:after="0"/>
        <w:ind w:left="0"/>
        <w:jc w:val="both"/>
      </w:pPr>
      <w:r>
        <w:rPr>
          <w:rFonts w:ascii="Times New Roman"/>
          <w:b w:val="false"/>
          <w:i w:val="false"/>
          <w:color w:val="000000"/>
          <w:sz w:val="28"/>
        </w:rPr>
        <w:t xml:space="preserve">
      Ежегодный оборот сети "Mercasa" (Меркаса) составляет свыше 15,0 млрд. евро. </w:t>
      </w:r>
    </w:p>
    <w:bookmarkEnd w:id="181"/>
    <w:bookmarkStart w:name="z191"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Рынок </w:t>
      </w:r>
      <w:r>
        <w:rPr>
          <w:rFonts w:ascii="Times New Roman"/>
          <w:b/>
          <w:i w:val="false"/>
          <w:color w:val="000000"/>
          <w:sz w:val="28"/>
        </w:rPr>
        <w:t>Bronisze</w:t>
      </w:r>
      <w:r>
        <w:rPr>
          <w:rFonts w:ascii="Times New Roman"/>
          <w:b/>
          <w:i w:val="false"/>
          <w:color w:val="000000"/>
          <w:sz w:val="28"/>
        </w:rPr>
        <w:t xml:space="preserve"> (</w:t>
      </w:r>
      <w:r>
        <w:rPr>
          <w:rFonts w:ascii="Times New Roman"/>
          <w:b/>
          <w:i w:val="false"/>
          <w:color w:val="000000"/>
          <w:sz w:val="28"/>
        </w:rPr>
        <w:t>Бронише</w:t>
      </w:r>
      <w:r>
        <w:rPr>
          <w:rFonts w:ascii="Times New Roman"/>
          <w:b/>
          <w:i w:val="false"/>
          <w:color w:val="000000"/>
          <w:sz w:val="28"/>
        </w:rPr>
        <w:t>) Польша</w:t>
      </w:r>
    </w:p>
    <w:bookmarkEnd w:id="182"/>
    <w:bookmarkStart w:name="z192" w:id="183"/>
    <w:p>
      <w:pPr>
        <w:spacing w:after="0"/>
        <w:ind w:left="0"/>
        <w:jc w:val="both"/>
      </w:pPr>
      <w:r>
        <w:rPr>
          <w:rFonts w:ascii="Times New Roman"/>
          <w:b w:val="false"/>
          <w:i w:val="false"/>
          <w:color w:val="000000"/>
          <w:sz w:val="28"/>
        </w:rPr>
        <w:t>
      Акционерное общество "Варшавский сельскохозяйственный оптовый рынок" "Bronisze" (Бронише) основан в 1995 году. По инициативе Министерства сельского хозяйства и продовольственных ресурсов была разработана правительственная программа строительства сети оптовых рынков и сельскохозяйственных бирж. Сегодня это самый крупный и современный рынок в Центральной и Восточной Европе.</w:t>
      </w:r>
    </w:p>
    <w:bookmarkEnd w:id="183"/>
    <w:bookmarkStart w:name="z193" w:id="184"/>
    <w:p>
      <w:pPr>
        <w:spacing w:after="0"/>
        <w:ind w:left="0"/>
        <w:jc w:val="both"/>
      </w:pPr>
      <w:r>
        <w:rPr>
          <w:rFonts w:ascii="Times New Roman"/>
          <w:b w:val="false"/>
          <w:i w:val="false"/>
          <w:color w:val="000000"/>
          <w:sz w:val="28"/>
        </w:rPr>
        <w:t>
      "Bronisze" (Бронише) является акционерным обществом, около 62% его акций принадлежит государству, 23% – производителям и оптовым торговым компаниям, остальные – прочим физическим и юридическим лицам. Всего насчитывается более 800 акционеров.</w:t>
      </w:r>
    </w:p>
    <w:bookmarkEnd w:id="184"/>
    <w:bookmarkStart w:name="z194" w:id="185"/>
    <w:p>
      <w:pPr>
        <w:spacing w:after="0"/>
        <w:ind w:left="0"/>
        <w:jc w:val="both"/>
      </w:pPr>
      <w:r>
        <w:rPr>
          <w:rFonts w:ascii="Times New Roman"/>
          <w:b w:val="false"/>
          <w:i w:val="false"/>
          <w:color w:val="000000"/>
          <w:sz w:val="28"/>
        </w:rPr>
        <w:t>
      Площадь Bronisze (Бронише) 51,6 га, в том числе 8,5 га занимают торговые залы и навесы. В ближайшее время планируется введение в эксплуатацию нового павильона площадью 12 000 м2. На рынках "Bronisze" (Бронише) в год реализуется более 1,2 млн. тонн товаров, это почти 60 000 тонн плодоовощной продукции в месяц, что составляет 1 млн. долларов ежедневного оборота. В период отсутствия на рынке овощей и фруктов польского производства продается импортная продукция, 90% импортных овощей и фруктов поставляется из Испании.</w:t>
      </w:r>
    </w:p>
    <w:bookmarkEnd w:id="185"/>
    <w:bookmarkStart w:name="z195" w:id="186"/>
    <w:p>
      <w:pPr>
        <w:spacing w:after="0"/>
        <w:ind w:left="0"/>
        <w:jc w:val="both"/>
      </w:pPr>
      <w:r>
        <w:rPr>
          <w:rFonts w:ascii="Times New Roman"/>
          <w:b w:val="false"/>
          <w:i w:val="false"/>
          <w:color w:val="000000"/>
          <w:sz w:val="28"/>
        </w:rPr>
        <w:t>
      Рынок обеспечивает продовольствием 14 млн. потребителей и предоставляет 2 тысячи рабочих мест населению. Компания является одним из крупнейших работодателей в Варшавском Западном повяте (области), а также играет важную роль в жизни локальных сообществ, являясь спонсором спортивных и культурных мероприятий.</w:t>
      </w:r>
    </w:p>
    <w:bookmarkEnd w:id="186"/>
    <w:bookmarkStart w:name="z196" w:id="187"/>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внутренней среды</w:t>
      </w:r>
    </w:p>
    <w:bookmarkEnd w:id="187"/>
    <w:bookmarkStart w:name="z197" w:id="188"/>
    <w:p>
      <w:pPr>
        <w:spacing w:after="0"/>
        <w:ind w:left="0"/>
        <w:jc w:val="both"/>
      </w:pPr>
      <w:r>
        <w:rPr>
          <w:rFonts w:ascii="Times New Roman"/>
          <w:b w:val="false"/>
          <w:i w:val="false"/>
          <w:color w:val="000000"/>
          <w:sz w:val="28"/>
        </w:rPr>
        <w:t>
      Особенностью организации сбыта сельхозпродукции в текущих условиях является наличие большого количества посредников между производителем и конечным потребителем, отсутствие прямого доступа сельхозтоваропроизводителя к рынкам сбыта, недостаточной обеспеченностью производственной инфраструктурой сбыта, что приводит к значительным непроизводственным потерям, а также сказывается на повышении стоимости цен на сельхозпродукцию.</w:t>
      </w:r>
    </w:p>
    <w:bookmarkEnd w:id="188"/>
    <w:bookmarkStart w:name="z198" w:id="189"/>
    <w:p>
      <w:pPr>
        <w:spacing w:after="0"/>
        <w:ind w:left="0"/>
        <w:jc w:val="both"/>
      </w:pPr>
      <w:r>
        <w:rPr>
          <w:rFonts w:ascii="Times New Roman"/>
          <w:b w:val="false"/>
          <w:i w:val="false"/>
          <w:color w:val="000000"/>
          <w:sz w:val="28"/>
        </w:rPr>
        <w:t>
      По предварительным данным акиматов в республике насчитывается 1 249 единиц плодо-овоще-картофеле-хранилищ с общей емкостью 1 908,3 тыс. тонн, что недостаточно для обеспечения хранения произведенной продукции.</w:t>
      </w:r>
    </w:p>
    <w:bookmarkEnd w:id="189"/>
    <w:bookmarkStart w:name="z199" w:id="190"/>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по итогам 2019 года собрано 6 716,1 тыс. тонн овощей (картофель, капуста, морковь, лук, свеклы, перец, чеснок, баклажан и тыква), 1 285,17 тыс. тонн помидоров и огурцов, 2 382,1 тыс. тонн бахчевых, 279,0 тыс. тонн плодовых культур.</w:t>
      </w:r>
    </w:p>
    <w:bookmarkEnd w:id="190"/>
    <w:bookmarkStart w:name="z200" w:id="191"/>
    <w:p>
      <w:pPr>
        <w:spacing w:after="0"/>
        <w:ind w:left="0"/>
        <w:jc w:val="both"/>
      </w:pPr>
      <w:r>
        <w:rPr>
          <w:rFonts w:ascii="Times New Roman"/>
          <w:b w:val="false"/>
          <w:i w:val="false"/>
          <w:color w:val="000000"/>
          <w:sz w:val="28"/>
        </w:rPr>
        <w:t>
      Основной объем выращиваемой плодоовощной продукции (более 80%) приходится на долю малых предприятий (фермеры, личные подсобные хозяйства) которые не обладают достаточной производственной инфраструктурой для хранения, обработки и предпродажной подготовке своей продукции, что приводит к большим потерям сельхозпродукции.</w:t>
      </w:r>
    </w:p>
    <w:bookmarkEnd w:id="191"/>
    <w:bookmarkStart w:name="z201" w:id="192"/>
    <w:p>
      <w:pPr>
        <w:spacing w:after="0"/>
        <w:ind w:left="0"/>
        <w:jc w:val="both"/>
      </w:pPr>
      <w:r>
        <w:rPr>
          <w:rFonts w:ascii="Times New Roman"/>
          <w:b w:val="false"/>
          <w:i w:val="false"/>
          <w:color w:val="000000"/>
          <w:sz w:val="28"/>
        </w:rPr>
        <w:t>
      При этом, оценочно порядка 50% производимой продукции сельхозпредприятиями и крестьянскими/фермерскими хозяйствами практически реализуется с полей и употребляется по мере сбора урожая (лето-осень). Также, потенциально порядка 50% производимой продукции хозяйствами населения имеет потребность в производственной инфраструктуре для хранения (при условии применения механизмов закупа).</w:t>
      </w:r>
    </w:p>
    <w:bookmarkEnd w:id="192"/>
    <w:bookmarkStart w:name="z202" w:id="193"/>
    <w:p>
      <w:pPr>
        <w:spacing w:after="0"/>
        <w:ind w:left="0"/>
        <w:jc w:val="both"/>
      </w:pPr>
      <w:r>
        <w:rPr>
          <w:rFonts w:ascii="Times New Roman"/>
          <w:b w:val="false"/>
          <w:i w:val="false"/>
          <w:color w:val="000000"/>
          <w:sz w:val="28"/>
        </w:rPr>
        <w:t>
      С учетом вышеуказанного обеспеченность сельхозтоваропроизводителей овощехранилищами по республике составляет порядка 56,8% от подлежащего к хранению объемов, что негативно влияет на качество и объемы продукции, а также на ценообразование.</w:t>
      </w:r>
    </w:p>
    <w:bookmarkEnd w:id="193"/>
    <w:bookmarkStart w:name="z203" w:id="19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w:t>
      </w:r>
      <w:r>
        <w:rPr>
          <w:rFonts w:ascii="Times New Roman"/>
          <w:b w:val="false"/>
          <w:i w:val="false"/>
          <w:color w:val="000000"/>
          <w:sz w:val="28"/>
        </w:rPr>
        <w:t xml:space="preserve"> Обеспеченность овощехранилищами регионов Республики Казахстан</w:t>
      </w:r>
    </w:p>
    <w:bookmarkEnd w:id="194"/>
    <w:bookmarkStart w:name="z20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7691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6"/>
    <w:p>
      <w:pPr>
        <w:spacing w:after="0"/>
        <w:ind w:left="0"/>
        <w:jc w:val="both"/>
      </w:pPr>
      <w:r>
        <w:rPr>
          <w:rFonts w:ascii="Times New Roman"/>
          <w:b w:val="false"/>
          <w:i w:val="false"/>
          <w:color w:val="000000"/>
          <w:sz w:val="28"/>
        </w:rPr>
        <w:t xml:space="preserve">
      Также существуют нехватка мощностей по хранению плодоовощной продукции, производственных мощностей по первичной переработке (сортировка, калибровка, фасовка и упаковка), слабая обеспеченность соответствующей инфраструктурой, недостаток распределительных мощностей, слабое структурирование рынка и недостаток профессиональных и специализированных оптовых компаний, консолидирующих и обслуживающих сделки с продовольствием. </w:t>
      </w:r>
    </w:p>
    <w:bookmarkEnd w:id="196"/>
    <w:bookmarkStart w:name="z206" w:id="197"/>
    <w:p>
      <w:pPr>
        <w:spacing w:after="0"/>
        <w:ind w:left="0"/>
        <w:jc w:val="both"/>
      </w:pPr>
      <w:r>
        <w:rPr>
          <w:rFonts w:ascii="Times New Roman"/>
          <w:b w:val="false"/>
          <w:i w:val="false"/>
          <w:color w:val="000000"/>
          <w:sz w:val="28"/>
        </w:rPr>
        <w:t>
      Недостаток мощностей по хранению, подработке, упаковке и транспортировке, ведет к огромным потерям и снижению качества продукции. При этом, данные факторы действуют разнонаправлено – потери приводят к тому, что увеличивается себестоимость товарной продукции, а снижение качества, наоборот, ограничивает цену продукции. Как результат, рентабельность производства сельскохозяйственной продукции часто не обеспечивает даже простого воспроизводства в хозяйствах, а уровень рентабельности в отдельных случаях зависит лишь от объема государственной поддержки, предоставляемой конкретному хозяйству.</w:t>
      </w:r>
    </w:p>
    <w:bookmarkEnd w:id="197"/>
    <w:bookmarkStart w:name="z207" w:id="198"/>
    <w:p>
      <w:pPr>
        <w:spacing w:after="0"/>
        <w:ind w:left="0"/>
        <w:jc w:val="both"/>
      </w:pPr>
      <w:r>
        <w:rPr>
          <w:rFonts w:ascii="Times New Roman"/>
          <w:b w:val="false"/>
          <w:i w:val="false"/>
          <w:color w:val="000000"/>
          <w:sz w:val="28"/>
        </w:rPr>
        <w:t xml:space="preserve">
      Таким образом, все указанные факторы оказывают непосредственное влияние на себестоимость продукции, огранивая уровень рентабельности сельскохозяйственного производства, что в свою очередь, ограничивает возможности хозяйств по инвестированию в новые технологии, что лишь усугубляет проблемы высоких потерь. Поэтому решение данных проблем должно иметь комплексный характер путем создания дополнительных мощностей и формирования системы дистрибуции продовольствия в виде сети ОРЦ. </w:t>
      </w:r>
    </w:p>
    <w:bookmarkEnd w:id="198"/>
    <w:bookmarkStart w:name="z208"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Предварительный макроэкономический эффект от создания товаропроводящей системы. </w:t>
      </w:r>
    </w:p>
    <w:bookmarkEnd w:id="199"/>
    <w:bookmarkStart w:name="z209" w:id="200"/>
    <w:p>
      <w:pPr>
        <w:spacing w:after="0"/>
        <w:ind w:left="0"/>
        <w:jc w:val="both"/>
      </w:pPr>
      <w:r>
        <w:rPr>
          <w:rFonts w:ascii="Times New Roman"/>
          <w:b w:val="false"/>
          <w:i w:val="false"/>
          <w:color w:val="000000"/>
          <w:sz w:val="28"/>
        </w:rPr>
        <w:t xml:space="preserve">
      Создание товаропроводящей сети ОРЦ позволит снизить непроизводственные потери сельхозтоваропроизводителей, гарантировать сбыт продукции и исключить неэффективных оптовых перекупщиков. </w:t>
      </w:r>
    </w:p>
    <w:bookmarkEnd w:id="200"/>
    <w:bookmarkStart w:name="z210" w:id="201"/>
    <w:p>
      <w:pPr>
        <w:spacing w:after="0"/>
        <w:ind w:left="0"/>
        <w:jc w:val="both"/>
      </w:pPr>
      <w:r>
        <w:rPr>
          <w:rFonts w:ascii="Times New Roman"/>
          <w:b w:val="false"/>
          <w:i w:val="false"/>
          <w:color w:val="000000"/>
          <w:sz w:val="28"/>
        </w:rPr>
        <w:t xml:space="preserve">
      На сегодняшний день на рынке плодоовощной продукции отмечаются наиболее значимые потери. Основная причина в том, что порядка 80% поставляемой продукции приходиться на долю малых производителей (фермеры, личные подсобные хозяйства). </w:t>
      </w:r>
    </w:p>
    <w:bookmarkEnd w:id="201"/>
    <w:bookmarkStart w:name="z211" w:id="202"/>
    <w:p>
      <w:pPr>
        <w:spacing w:after="0"/>
        <w:ind w:left="0"/>
        <w:jc w:val="both"/>
      </w:pPr>
      <w:r>
        <w:rPr>
          <w:rFonts w:ascii="Times New Roman"/>
          <w:b w:val="false"/>
          <w:i w:val="false"/>
          <w:color w:val="000000"/>
          <w:sz w:val="28"/>
        </w:rPr>
        <w:t xml:space="preserve">
      Учитывая, что в республике объем производства сельхозпродукции составляет 6 716,1 тыс. тонн в год, из них порядка 40% или 2,7 млн. тонн составляют, как правило, непроизводственные потери, обусловленные отсутствием необходимой инфраструктуры для надлежащей транспортировки, хранения и переработки продукции, а также рынка сбыта. </w:t>
      </w:r>
    </w:p>
    <w:bookmarkEnd w:id="202"/>
    <w:bookmarkStart w:name="z212" w:id="203"/>
    <w:p>
      <w:pPr>
        <w:spacing w:after="0"/>
        <w:ind w:left="0"/>
        <w:jc w:val="both"/>
      </w:pPr>
      <w:r>
        <w:rPr>
          <w:rFonts w:ascii="Times New Roman"/>
          <w:b w:val="false"/>
          <w:i w:val="false"/>
          <w:color w:val="000000"/>
          <w:sz w:val="28"/>
        </w:rPr>
        <w:t>
      Создание сети ОРЦ обеспечит соответствующую дистрибуцию, хранение, транспортировку и сбыт, сельхозпродукции, что позволит фермерам более качественно планировать объемы и виды плодоовощной продукции, а также развивать свое производство.</w:t>
      </w:r>
    </w:p>
    <w:bookmarkEnd w:id="203"/>
    <w:bookmarkStart w:name="z213" w:id="204"/>
    <w:p>
      <w:pPr>
        <w:spacing w:after="0"/>
        <w:ind w:left="0"/>
        <w:jc w:val="both"/>
      </w:pPr>
      <w:r>
        <w:rPr>
          <w:rFonts w:ascii="Times New Roman"/>
          <w:b w:val="false"/>
          <w:i w:val="false"/>
          <w:color w:val="000000"/>
          <w:sz w:val="28"/>
        </w:rPr>
        <w:t xml:space="preserve">
      По предварительным расчетам создание товаропроводящей сети ОРЦ позволит сократить товарные потери при производстве, обработке, хранении и транспортировке с текущих 40% до 10% к 2025 году (с 1,7 до 0,5 млн. тонн) и позволит сохранить 1,2 млн. тонн плодоовощной продукции. </w:t>
      </w:r>
    </w:p>
    <w:bookmarkEnd w:id="204"/>
    <w:bookmarkStart w:name="z214" w:id="205"/>
    <w:p>
      <w:pPr>
        <w:spacing w:after="0"/>
        <w:ind w:left="0"/>
        <w:jc w:val="both"/>
      </w:pPr>
      <w:r>
        <w:rPr>
          <w:rFonts w:ascii="Times New Roman"/>
          <w:b w:val="false"/>
          <w:i w:val="false"/>
          <w:color w:val="000000"/>
          <w:sz w:val="28"/>
        </w:rPr>
        <w:t xml:space="preserve">
      При этом, доходы фермеров увеличатся до 72 млрд. тенге и при имеющихся субсидиях в размере 244 млрд. тенге будут иметь возможность вложить инвестиции в производство сельхозпродукции порядка – 316 млрд. тенге. </w:t>
      </w:r>
    </w:p>
    <w:bookmarkEnd w:id="205"/>
    <w:bookmarkStart w:name="z215" w:id="206"/>
    <w:p>
      <w:pPr>
        <w:spacing w:after="0"/>
        <w:ind w:left="0"/>
        <w:jc w:val="both"/>
      </w:pPr>
      <w:r>
        <w:rPr>
          <w:rFonts w:ascii="Times New Roman"/>
          <w:b w:val="false"/>
          <w:i w:val="false"/>
          <w:color w:val="000000"/>
          <w:sz w:val="28"/>
        </w:rPr>
        <w:t>
      Увеличение объемов собственных инвестиций в производство обеспечит дополнительный прирост возделываемых земель сельскохозяйственного назначения и позволит провести модернизацию и обновление сельскохозяйственной техники и оборудования, что поднимет рост объемов производства плодоовощной продукции и урожайность, что создаст дополнительный потенциал по экспорту плодоовощной продукции.</w:t>
      </w:r>
    </w:p>
    <w:bookmarkEnd w:id="206"/>
    <w:bookmarkStart w:name="z216" w:id="207"/>
    <w:p>
      <w:pPr>
        <w:spacing w:after="0"/>
        <w:ind w:left="0"/>
        <w:jc w:val="both"/>
      </w:pPr>
      <w:r>
        <w:rPr>
          <w:rFonts w:ascii="Times New Roman"/>
          <w:b w:val="false"/>
          <w:i w:val="false"/>
          <w:color w:val="000000"/>
          <w:sz w:val="28"/>
        </w:rPr>
        <w:t xml:space="preserve">
      Ожидаются стабилизация и снижение цен для потребителя на сельхозпродукцию до 45% за счет роста объемов производства плодоовощной продукции, модернизации сельскохозяйственной инфраструктуры, доступа к рынкам сбыта и повышения урожайности до 8%. </w:t>
      </w:r>
    </w:p>
    <w:bookmarkEnd w:id="207"/>
    <w:bookmarkStart w:name="z217" w:id="208"/>
    <w:p>
      <w:pPr>
        <w:spacing w:after="0"/>
        <w:ind w:left="0"/>
        <w:jc w:val="both"/>
      </w:pPr>
      <w:r>
        <w:rPr>
          <w:rFonts w:ascii="Times New Roman"/>
          <w:b w:val="false"/>
          <w:i w:val="false"/>
          <w:color w:val="000000"/>
          <w:sz w:val="28"/>
        </w:rPr>
        <w:t>
      Рост экспортного потенциала составит 1,45 млн. тонн.</w:t>
      </w:r>
    </w:p>
    <w:bookmarkEnd w:id="208"/>
    <w:bookmarkStart w:name="z218" w:id="209"/>
    <w:p>
      <w:pPr>
        <w:spacing w:after="0"/>
        <w:ind w:left="0"/>
        <w:jc w:val="both"/>
      </w:pPr>
      <w:r>
        <w:rPr>
          <w:rFonts w:ascii="Times New Roman"/>
          <w:b w:val="false"/>
          <w:i w:val="false"/>
          <w:color w:val="000000"/>
          <w:sz w:val="28"/>
        </w:rPr>
        <w:t xml:space="preserve">
      Также за счет увеличения ликвидности и надежности сельхозтоваропроизводителей, снижения рисков можно привлечь в сельское хозяйство дополнительно 650,0 млрд. тенге от БВУ. </w:t>
      </w:r>
    </w:p>
    <w:bookmarkEnd w:id="209"/>
    <w:bookmarkStart w:name="z219" w:id="2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w:t>
      </w:r>
      <w:r>
        <w:rPr>
          <w:rFonts w:ascii="Times New Roman"/>
          <w:b w:val="false"/>
          <w:i w:val="false"/>
          <w:color w:val="000000"/>
          <w:sz w:val="28"/>
        </w:rPr>
        <w:t xml:space="preserve"> Сокращение теневой торговли</w:t>
      </w:r>
    </w:p>
    <w:bookmarkEnd w:id="210"/>
    <w:bookmarkStart w:name="z220"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2"/>
    <w:p>
      <w:pPr>
        <w:spacing w:after="0"/>
        <w:ind w:left="0"/>
        <w:jc w:val="both"/>
      </w:pPr>
      <w:r>
        <w:rPr>
          <w:rFonts w:ascii="Times New Roman"/>
          <w:b w:val="false"/>
          <w:i w:val="false"/>
          <w:color w:val="000000"/>
          <w:sz w:val="28"/>
        </w:rPr>
        <w:t xml:space="preserve">
      В период с 2020 по 2025 годы дополнительный объем налогов за счет вывода из тени увеличится с 25,0 млрд. тенге до 470,5 млрд. тенге соответственно. </w:t>
      </w:r>
    </w:p>
    <w:bookmarkEnd w:id="212"/>
    <w:bookmarkStart w:name="z222" w:id="213"/>
    <w:p>
      <w:pPr>
        <w:spacing w:after="0"/>
        <w:ind w:left="0"/>
        <w:jc w:val="both"/>
      </w:pPr>
      <w:r>
        <w:rPr>
          <w:rFonts w:ascii="Times New Roman"/>
          <w:b w:val="false"/>
          <w:i w:val="false"/>
          <w:color w:val="000000"/>
          <w:sz w:val="28"/>
        </w:rPr>
        <w:t xml:space="preserve">
      Создание товаропроводящей сети ОРЦ сократит число неэффективных посредников и снизит обороты теневой торговли с 51% до 31 % от общего объема ненаблюдаемой экономики. </w:t>
      </w:r>
    </w:p>
    <w:bookmarkEnd w:id="213"/>
    <w:bookmarkStart w:name="z223" w:id="214"/>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Функционирование сети ОРЦ</w:t>
      </w:r>
    </w:p>
    <w:bookmarkEnd w:id="214"/>
    <w:bookmarkStart w:name="z224" w:id="215"/>
    <w:p>
      <w:pPr>
        <w:spacing w:after="0"/>
        <w:ind w:left="0"/>
        <w:jc w:val="both"/>
      </w:pPr>
      <w:r>
        <w:rPr>
          <w:rFonts w:ascii="Times New Roman"/>
          <w:b w:val="false"/>
          <w:i w:val="false"/>
          <w:color w:val="000000"/>
          <w:sz w:val="28"/>
        </w:rPr>
        <w:t>
      Целями проекта развития сети ОРЦ являются обеспечение сбыта сельскохозяйственной продукции и импортозамещение за счет создания в рамках сети ОРЦ условий для приема, реализации, подработки, первичной переработки и надлежащего хранения сельскохозяйственной продукции, включая оказание внутренней продовольственной помощи и формирование резервов для решения проблемы продовольственной безопасности.</w:t>
      </w:r>
    </w:p>
    <w:bookmarkEnd w:id="215"/>
    <w:bookmarkStart w:name="z225" w:id="21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функции ОРЦ:</w:t>
      </w:r>
    </w:p>
    <w:bookmarkEnd w:id="216"/>
    <w:bookmarkStart w:name="z226" w:id="217"/>
    <w:p>
      <w:pPr>
        <w:spacing w:after="0"/>
        <w:ind w:left="0"/>
        <w:jc w:val="both"/>
      </w:pPr>
      <w:r>
        <w:rPr>
          <w:rFonts w:ascii="Times New Roman"/>
          <w:b w:val="false"/>
          <w:i w:val="false"/>
          <w:color w:val="000000"/>
          <w:sz w:val="28"/>
        </w:rPr>
        <w:t>
      - прием сельскохозяйственной продукции;</w:t>
      </w:r>
    </w:p>
    <w:bookmarkEnd w:id="217"/>
    <w:bookmarkStart w:name="z227" w:id="218"/>
    <w:p>
      <w:pPr>
        <w:spacing w:after="0"/>
        <w:ind w:left="0"/>
        <w:jc w:val="both"/>
      </w:pPr>
      <w:r>
        <w:rPr>
          <w:rFonts w:ascii="Times New Roman"/>
          <w:b w:val="false"/>
          <w:i w:val="false"/>
          <w:color w:val="000000"/>
          <w:sz w:val="28"/>
        </w:rPr>
        <w:t>
      - комплектация товарных партий сельскохозяйственной продукции;</w:t>
      </w:r>
    </w:p>
    <w:bookmarkEnd w:id="218"/>
    <w:bookmarkStart w:name="z228" w:id="219"/>
    <w:p>
      <w:pPr>
        <w:spacing w:after="0"/>
        <w:ind w:left="0"/>
        <w:jc w:val="both"/>
      </w:pPr>
      <w:r>
        <w:rPr>
          <w:rFonts w:ascii="Times New Roman"/>
          <w:b w:val="false"/>
          <w:i w:val="false"/>
          <w:color w:val="000000"/>
          <w:sz w:val="28"/>
        </w:rPr>
        <w:t>
      - подработка сельскохозяйственной продукции;</w:t>
      </w:r>
    </w:p>
    <w:bookmarkEnd w:id="219"/>
    <w:bookmarkStart w:name="z229" w:id="220"/>
    <w:p>
      <w:pPr>
        <w:spacing w:after="0"/>
        <w:ind w:left="0"/>
        <w:jc w:val="both"/>
      </w:pPr>
      <w:r>
        <w:rPr>
          <w:rFonts w:ascii="Times New Roman"/>
          <w:b w:val="false"/>
          <w:i w:val="false"/>
          <w:color w:val="000000"/>
          <w:sz w:val="28"/>
        </w:rPr>
        <w:t>
      - первичная переработка сельскохозяйственной продукции;</w:t>
      </w:r>
    </w:p>
    <w:bookmarkEnd w:id="220"/>
    <w:bookmarkStart w:name="z230" w:id="221"/>
    <w:p>
      <w:pPr>
        <w:spacing w:after="0"/>
        <w:ind w:left="0"/>
        <w:jc w:val="both"/>
      </w:pPr>
      <w:r>
        <w:rPr>
          <w:rFonts w:ascii="Times New Roman"/>
          <w:b w:val="false"/>
          <w:i w:val="false"/>
          <w:color w:val="000000"/>
          <w:sz w:val="28"/>
        </w:rPr>
        <w:t>
      - хранение сельскохозяйственной продукции;</w:t>
      </w:r>
    </w:p>
    <w:bookmarkEnd w:id="221"/>
    <w:bookmarkStart w:name="z231" w:id="222"/>
    <w:p>
      <w:pPr>
        <w:spacing w:after="0"/>
        <w:ind w:left="0"/>
        <w:jc w:val="both"/>
      </w:pPr>
      <w:r>
        <w:rPr>
          <w:rFonts w:ascii="Times New Roman"/>
          <w:b w:val="false"/>
          <w:i w:val="false"/>
          <w:color w:val="000000"/>
          <w:sz w:val="28"/>
        </w:rPr>
        <w:t>
      - формирование и прозрачность ценообразования;</w:t>
      </w:r>
    </w:p>
    <w:bookmarkEnd w:id="222"/>
    <w:bookmarkStart w:name="z232" w:id="223"/>
    <w:p>
      <w:pPr>
        <w:spacing w:after="0"/>
        <w:ind w:left="0"/>
        <w:jc w:val="both"/>
      </w:pPr>
      <w:r>
        <w:rPr>
          <w:rFonts w:ascii="Times New Roman"/>
          <w:b w:val="false"/>
          <w:i w:val="false"/>
          <w:color w:val="000000"/>
          <w:sz w:val="28"/>
        </w:rPr>
        <w:t>
      - оптовая торговля сельхозпродукцией, в том числе возможность обеспечения условий организации электронных биржевых торгов;</w:t>
      </w:r>
    </w:p>
    <w:bookmarkEnd w:id="223"/>
    <w:bookmarkStart w:name="z233" w:id="224"/>
    <w:p>
      <w:pPr>
        <w:spacing w:after="0"/>
        <w:ind w:left="0"/>
        <w:jc w:val="both"/>
      </w:pPr>
      <w:r>
        <w:rPr>
          <w:rFonts w:ascii="Times New Roman"/>
          <w:b w:val="false"/>
          <w:i w:val="false"/>
          <w:color w:val="000000"/>
          <w:sz w:val="28"/>
        </w:rPr>
        <w:t>
      - проведение ярмарочно-выставочных и маркетинговых мероприятий.</w:t>
      </w:r>
    </w:p>
    <w:bookmarkEnd w:id="224"/>
    <w:bookmarkStart w:name="z234" w:id="225"/>
    <w:p>
      <w:pPr>
        <w:spacing w:after="0"/>
        <w:ind w:left="0"/>
        <w:jc w:val="both"/>
      </w:pPr>
      <w:r>
        <w:rPr>
          <w:rFonts w:ascii="Times New Roman"/>
          <w:b w:val="false"/>
          <w:i w:val="false"/>
          <w:color w:val="000000"/>
          <w:sz w:val="28"/>
        </w:rPr>
        <w:t>
      Возможность реализации государственных функций на территории ОРЦ:</w:t>
      </w:r>
    </w:p>
    <w:bookmarkEnd w:id="225"/>
    <w:bookmarkStart w:name="z235" w:id="226"/>
    <w:p>
      <w:pPr>
        <w:spacing w:after="0"/>
        <w:ind w:left="0"/>
        <w:jc w:val="both"/>
      </w:pPr>
      <w:r>
        <w:rPr>
          <w:rFonts w:ascii="Times New Roman"/>
          <w:b w:val="false"/>
          <w:i w:val="false"/>
          <w:color w:val="000000"/>
          <w:sz w:val="28"/>
        </w:rPr>
        <w:t>
      - ветеринарный контроль;</w:t>
      </w:r>
    </w:p>
    <w:bookmarkEnd w:id="226"/>
    <w:bookmarkStart w:name="z236" w:id="227"/>
    <w:p>
      <w:pPr>
        <w:spacing w:after="0"/>
        <w:ind w:left="0"/>
        <w:jc w:val="both"/>
      </w:pPr>
      <w:r>
        <w:rPr>
          <w:rFonts w:ascii="Times New Roman"/>
          <w:b w:val="false"/>
          <w:i w:val="false"/>
          <w:color w:val="000000"/>
          <w:sz w:val="28"/>
        </w:rPr>
        <w:t>
      - фитосанитарный контроль;</w:t>
      </w:r>
    </w:p>
    <w:bookmarkEnd w:id="227"/>
    <w:bookmarkStart w:name="z237" w:id="228"/>
    <w:p>
      <w:pPr>
        <w:spacing w:after="0"/>
        <w:ind w:left="0"/>
        <w:jc w:val="both"/>
      </w:pPr>
      <w:r>
        <w:rPr>
          <w:rFonts w:ascii="Times New Roman"/>
          <w:b w:val="false"/>
          <w:i w:val="false"/>
          <w:color w:val="000000"/>
          <w:sz w:val="28"/>
        </w:rPr>
        <w:t>
      - формирования продовольственного резерва;</w:t>
      </w:r>
    </w:p>
    <w:bookmarkEnd w:id="228"/>
    <w:bookmarkStart w:name="z238" w:id="229"/>
    <w:p>
      <w:pPr>
        <w:spacing w:after="0"/>
        <w:ind w:left="0"/>
        <w:jc w:val="both"/>
      </w:pPr>
      <w:r>
        <w:rPr>
          <w:rFonts w:ascii="Times New Roman"/>
          <w:b w:val="false"/>
          <w:i w:val="false"/>
          <w:color w:val="000000"/>
          <w:sz w:val="28"/>
        </w:rPr>
        <w:t>
      - таможенное обслуживание;</w:t>
      </w:r>
    </w:p>
    <w:bookmarkEnd w:id="229"/>
    <w:bookmarkStart w:name="z239" w:id="230"/>
    <w:p>
      <w:pPr>
        <w:spacing w:after="0"/>
        <w:ind w:left="0"/>
        <w:jc w:val="both"/>
      </w:pPr>
      <w:r>
        <w:rPr>
          <w:rFonts w:ascii="Times New Roman"/>
          <w:b w:val="false"/>
          <w:i w:val="false"/>
          <w:color w:val="000000"/>
          <w:sz w:val="28"/>
        </w:rPr>
        <w:t>
      - государственная поддержка сельскохозяйственных производителей, включая малые формы хозяйствования;</w:t>
      </w:r>
    </w:p>
    <w:bookmarkEnd w:id="230"/>
    <w:bookmarkStart w:name="z240" w:id="231"/>
    <w:p>
      <w:pPr>
        <w:spacing w:after="0"/>
        <w:ind w:left="0"/>
        <w:jc w:val="both"/>
      </w:pPr>
      <w:r>
        <w:rPr>
          <w:rFonts w:ascii="Times New Roman"/>
          <w:b w:val="false"/>
          <w:i w:val="false"/>
          <w:color w:val="000000"/>
          <w:sz w:val="28"/>
        </w:rPr>
        <w:t>
      - создание и поддержка единой информационной системы объединяющей ОРЦ (сбор и анализ информации по объемам/ценам на сельхозпродукцию), информационная поддержка сельскохозяйственных производителей.</w:t>
      </w:r>
    </w:p>
    <w:bookmarkEnd w:id="231"/>
    <w:bookmarkStart w:name="z241" w:id="232"/>
    <w:p>
      <w:pPr>
        <w:spacing w:after="0"/>
        <w:ind w:left="0"/>
        <w:jc w:val="both"/>
      </w:pPr>
      <w:r>
        <w:rPr>
          <w:rFonts w:ascii="Times New Roman"/>
          <w:b w:val="false"/>
          <w:i w:val="false"/>
          <w:color w:val="000000"/>
          <w:sz w:val="28"/>
        </w:rPr>
        <w:t>
      Важную роль в налаживании торгово-сбытовой цепочки будут играть центры кооперации, которые будут работать на базе ОРЦ (хранение, универсальный). Данные центры в сотрудничестве с бизнес-ассоциациями, неправительственными и международными организациями будут проводить совместные учебные программы, направленные на повышение компетенции предпринимателей. Также данные центры будут проводить анализ по товарам, близости к рынкам сбыта и другим параметрам для установления эффективной схемы взаимодействия между всеми участниками данной цепочки.</w:t>
      </w:r>
    </w:p>
    <w:bookmarkEnd w:id="232"/>
    <w:bookmarkStart w:name="z242" w:id="2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6.</w:t>
      </w:r>
      <w:r>
        <w:rPr>
          <w:rFonts w:ascii="Times New Roman"/>
          <w:b w:val="false"/>
          <w:i w:val="false"/>
          <w:color w:val="000000"/>
          <w:sz w:val="28"/>
        </w:rPr>
        <w:t xml:space="preserve"> Производственный процесс ОРЦ</w:t>
      </w:r>
    </w:p>
    <w:bookmarkEnd w:id="233"/>
    <w:bookmarkStart w:name="z243"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35"/>
    <w:p>
      <w:pPr>
        <w:spacing w:after="0"/>
        <w:ind w:left="0"/>
        <w:jc w:val="both"/>
      </w:pPr>
      <w:r>
        <w:rPr>
          <w:rFonts w:ascii="Times New Roman"/>
          <w:b w:val="false"/>
          <w:i w:val="false"/>
          <w:color w:val="000000"/>
          <w:sz w:val="28"/>
        </w:rPr>
        <w:t>
      Приемка сельскохозяйственной продукции может состоять из следующих стадий: контроль качества продукции; определение количества; разгрузка. На первой стадии производятся пробы продукции на предмет качественных изменений (испорченный товар вследствие процессов брожения, гниения, ослизнения, плесневения, развития токсичных бактериозов). На следующей стадии приемки товара осуществляется определение веса (объема). Далее разгрузка и транспортировка для дальнейшей доработки/переработки.</w:t>
      </w:r>
    </w:p>
    <w:bookmarkEnd w:id="235"/>
    <w:bookmarkStart w:name="z245" w:id="236"/>
    <w:p>
      <w:pPr>
        <w:spacing w:after="0"/>
        <w:ind w:left="0"/>
        <w:jc w:val="both"/>
      </w:pPr>
      <w:r>
        <w:rPr>
          <w:rFonts w:ascii="Times New Roman"/>
          <w:b w:val="false"/>
          <w:i w:val="false"/>
          <w:color w:val="000000"/>
          <w:sz w:val="28"/>
        </w:rPr>
        <w:t>
      Комплектация партии груза подразумевает пересортировку грузов, полученных от поставщиков, и их консолидацию в партии для дальнейшей отправки потребителю. Разукрупнение партий способствует оптимизации транспортных потоков, что ведет к понижению транспортных затрат.</w:t>
      </w:r>
    </w:p>
    <w:bookmarkEnd w:id="236"/>
    <w:bookmarkStart w:name="z246" w:id="237"/>
    <w:p>
      <w:pPr>
        <w:spacing w:after="0"/>
        <w:ind w:left="0"/>
        <w:jc w:val="both"/>
      </w:pPr>
      <w:r>
        <w:rPr>
          <w:rFonts w:ascii="Times New Roman"/>
          <w:b w:val="false"/>
          <w:i w:val="false"/>
          <w:color w:val="000000"/>
          <w:sz w:val="28"/>
        </w:rPr>
        <w:t>
      Подработка сельскохозяйственной продукции включает в себя сортировку, калибровку, мойку, упаковку. Помимо улучшения товарного вида продукции в процессе подработки возможно отсеивание некондиционного и поврежденного товара.</w:t>
      </w:r>
    </w:p>
    <w:bookmarkEnd w:id="237"/>
    <w:bookmarkStart w:name="z247" w:id="238"/>
    <w:p>
      <w:pPr>
        <w:spacing w:after="0"/>
        <w:ind w:left="0"/>
        <w:jc w:val="both"/>
      </w:pPr>
      <w:r>
        <w:rPr>
          <w:rFonts w:ascii="Times New Roman"/>
          <w:b w:val="false"/>
          <w:i w:val="false"/>
          <w:color w:val="000000"/>
          <w:sz w:val="28"/>
        </w:rPr>
        <w:t>
      Для сохранения качества продукции и обеспечения длительного хранения с использованием в виде сырья в последующей (промышленной) переработке продукции возможно осуществление первичной переработки сельскохозяйственной продукции.</w:t>
      </w:r>
    </w:p>
    <w:bookmarkEnd w:id="238"/>
    <w:bookmarkStart w:name="z248" w:id="239"/>
    <w:p>
      <w:pPr>
        <w:spacing w:after="0"/>
        <w:ind w:left="0"/>
        <w:jc w:val="both"/>
      </w:pPr>
      <w:r>
        <w:rPr>
          <w:rFonts w:ascii="Times New Roman"/>
          <w:b w:val="false"/>
          <w:i w:val="false"/>
          <w:color w:val="000000"/>
          <w:sz w:val="28"/>
        </w:rPr>
        <w:t>
      Хранение – один из этапов товародвижения от производителя до потребителя. Поддержание оптимального режима влажности воздуха, характера воздухообмена и состава газовой среды способствует сохранности сельскохозяйственной продукции, обеспечивая ритмичность поставок в течение года.</w:t>
      </w:r>
    </w:p>
    <w:bookmarkEnd w:id="239"/>
    <w:bookmarkStart w:name="z249" w:id="240"/>
    <w:p>
      <w:pPr>
        <w:spacing w:after="0"/>
        <w:ind w:left="0"/>
        <w:jc w:val="both"/>
      </w:pPr>
      <w:r>
        <w:rPr>
          <w:rFonts w:ascii="Times New Roman"/>
          <w:b w:val="false"/>
          <w:i w:val="false"/>
          <w:color w:val="000000"/>
          <w:sz w:val="28"/>
        </w:rPr>
        <w:t>
      Обобщение информации о состоянии торговли реализуемыми на ОРЦ продовольственными товарами (объемы реализованной продукции и средних ценах на нее) может способствовать организации электронных биржевых торгов. Концентрация производителей и покупателей в одном месте создает предпосылки для формирования рыночной стоимости сельскохозяйственной продукции.</w:t>
      </w:r>
    </w:p>
    <w:bookmarkEnd w:id="240"/>
    <w:bookmarkStart w:name="z250" w:id="241"/>
    <w:p>
      <w:pPr>
        <w:spacing w:after="0"/>
        <w:ind w:left="0"/>
        <w:jc w:val="both"/>
      </w:pPr>
      <w:r>
        <w:rPr>
          <w:rFonts w:ascii="Times New Roman"/>
          <w:b w:val="false"/>
          <w:i w:val="false"/>
          <w:color w:val="000000"/>
          <w:sz w:val="28"/>
        </w:rPr>
        <w:t>
      Проведение ярмарочно-выставочных и маркетинговых мероприятий способствует продвижению товарной продукции среди потребителей и заключению новых договоров на поставку сельскохозяйственной продукции. Проведение подобных мероприятий обеспечивает приток потребителей, что ведет также к потреблению сопутствующих услуг.</w:t>
      </w:r>
    </w:p>
    <w:bookmarkEnd w:id="241"/>
    <w:bookmarkStart w:name="z251" w:id="242"/>
    <w:p>
      <w:pPr>
        <w:spacing w:after="0"/>
        <w:ind w:left="0"/>
        <w:jc w:val="both"/>
      </w:pPr>
      <w:r>
        <w:rPr>
          <w:rFonts w:ascii="Times New Roman"/>
          <w:b w:val="false"/>
          <w:i w:val="false"/>
          <w:color w:val="000000"/>
          <w:sz w:val="28"/>
        </w:rPr>
        <w:t>
      Налаженный ветеринарный контроль ведет к существенному сокращению рисков потерь сельскохозяйственной продукции. Ветеринарный контроль необходим, прежде всего, для малых сельхозпроизводителей, которые не обладают необходимой инфраструктурой, знаниями, и в большинстве случаях не способны своевременно выявить недоброкачественную продукцию. Крупные производители, как правило, располагают собственными лабораториями.</w:t>
      </w:r>
    </w:p>
    <w:bookmarkEnd w:id="242"/>
    <w:bookmarkStart w:name="z252" w:id="243"/>
    <w:p>
      <w:pPr>
        <w:spacing w:after="0"/>
        <w:ind w:left="0"/>
        <w:jc w:val="both"/>
      </w:pPr>
      <w:r>
        <w:rPr>
          <w:rFonts w:ascii="Times New Roman"/>
          <w:b w:val="false"/>
          <w:i w:val="false"/>
          <w:color w:val="000000"/>
          <w:sz w:val="28"/>
        </w:rPr>
        <w:t>
      Организация эффективного фитосанитарного контроля обеспечивает вскрытие внутренних дефектов, в т. ч. сортовых особенностей плодоовощной продукции. Ряд заболеваний продуктов растениеводства протекает в скрытой форме, поэтому наличие технологичной лаборатории на территории ОРЦ всех типов способствует выявлению на ранней стадии (до перемещения на хранение) некачественной продукции.</w:t>
      </w:r>
    </w:p>
    <w:bookmarkEnd w:id="243"/>
    <w:bookmarkStart w:name="z253" w:id="244"/>
    <w:p>
      <w:pPr>
        <w:spacing w:after="0"/>
        <w:ind w:left="0"/>
        <w:jc w:val="both"/>
      </w:pPr>
      <w:r>
        <w:rPr>
          <w:rFonts w:ascii="Times New Roman"/>
          <w:b w:val="false"/>
          <w:i w:val="false"/>
          <w:color w:val="000000"/>
          <w:sz w:val="28"/>
        </w:rPr>
        <w:t>
      Наличие таможенного терминала на территории ОРЦ (распределение) позволит существенно ускорить процедуру оформления грузов, что повысит оборачиваемость товара.</w:t>
      </w:r>
    </w:p>
    <w:bookmarkEnd w:id="244"/>
    <w:bookmarkStart w:name="z254" w:id="245"/>
    <w:p>
      <w:pPr>
        <w:spacing w:after="0"/>
        <w:ind w:left="0"/>
        <w:jc w:val="both"/>
      </w:pPr>
      <w:r>
        <w:rPr>
          <w:rFonts w:ascii="Times New Roman"/>
          <w:b w:val="false"/>
          <w:i w:val="false"/>
          <w:color w:val="000000"/>
          <w:sz w:val="28"/>
        </w:rPr>
        <w:t>
      Развитие инфраструктуры, которая включает в себя такие объекты как складские помещения, линии по подработке и переработке сельскохозяйственной продукции, позволит сократить издержки малым производителям. Доступ к рынкам сбыта обеспечит устойчивый спрос на сельскохозяйственную продукцию.</w:t>
      </w:r>
    </w:p>
    <w:bookmarkEnd w:id="245"/>
    <w:bookmarkStart w:name="z255" w:id="246"/>
    <w:p>
      <w:pPr>
        <w:spacing w:after="0"/>
        <w:ind w:left="0"/>
        <w:jc w:val="both"/>
      </w:pPr>
      <w:r>
        <w:rPr>
          <w:rFonts w:ascii="Times New Roman"/>
          <w:b w:val="false"/>
          <w:i w:val="false"/>
          <w:color w:val="000000"/>
          <w:sz w:val="28"/>
        </w:rPr>
        <w:t>
      Формирование системы ОРЦ, взаимодействующих друг с другом, в процессе информационного обмена обеспечит распределение избытков продовольствия с региональных оптовых центров. Аккумулирование и анализ информации по объемам/ценам на сельхозпродукцию необходимо проводить в разрезе отдельных товарных позиций, широкий доступ к которым будет способствовать формированию справедливой цены на сельхозпродукцию, а также развитию биржевой торговли.</w:t>
      </w:r>
    </w:p>
    <w:bookmarkEnd w:id="246"/>
    <w:bookmarkStart w:name="z256" w:id="24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экономические выгоды проекта</w:t>
      </w:r>
    </w:p>
    <w:bookmarkEnd w:id="247"/>
    <w:bookmarkStart w:name="z257" w:id="248"/>
    <w:p>
      <w:pPr>
        <w:spacing w:after="0"/>
        <w:ind w:left="0"/>
        <w:jc w:val="both"/>
      </w:pPr>
      <w:r>
        <w:rPr>
          <w:rFonts w:ascii="Times New Roman"/>
          <w:b w:val="false"/>
          <w:i w:val="false"/>
          <w:color w:val="000000"/>
          <w:sz w:val="28"/>
        </w:rPr>
        <w:t xml:space="preserve">
      Снижение цен на продовольственные товары: </w:t>
      </w:r>
    </w:p>
    <w:bookmarkEnd w:id="248"/>
    <w:bookmarkStart w:name="z258" w:id="249"/>
    <w:p>
      <w:pPr>
        <w:spacing w:after="0"/>
        <w:ind w:left="0"/>
        <w:jc w:val="both"/>
      </w:pPr>
      <w:r>
        <w:rPr>
          <w:rFonts w:ascii="Times New Roman"/>
          <w:b w:val="false"/>
          <w:i w:val="false"/>
          <w:color w:val="000000"/>
          <w:sz w:val="28"/>
        </w:rPr>
        <w:t>
      - ОРЦ будет способствовать снижению цен на продовольственные товары для конечных потребителей благодаря снижению количества посредников в дистрибутивной цепи;</w:t>
      </w:r>
    </w:p>
    <w:bookmarkEnd w:id="249"/>
    <w:bookmarkStart w:name="z259" w:id="250"/>
    <w:p>
      <w:pPr>
        <w:spacing w:after="0"/>
        <w:ind w:left="0"/>
        <w:jc w:val="both"/>
      </w:pPr>
      <w:r>
        <w:rPr>
          <w:rFonts w:ascii="Times New Roman"/>
          <w:b w:val="false"/>
          <w:i w:val="false"/>
          <w:color w:val="000000"/>
          <w:sz w:val="28"/>
        </w:rPr>
        <w:t>
      - высокая концентрация продавцов и покупателей способствует повышению конкуренции, и как следствие этого, снижению цен и повышению качества продукции;</w:t>
      </w:r>
    </w:p>
    <w:bookmarkEnd w:id="250"/>
    <w:bookmarkStart w:name="z260" w:id="251"/>
    <w:p>
      <w:pPr>
        <w:spacing w:after="0"/>
        <w:ind w:left="0"/>
        <w:jc w:val="both"/>
      </w:pPr>
      <w:r>
        <w:rPr>
          <w:rFonts w:ascii="Times New Roman"/>
          <w:b w:val="false"/>
          <w:i w:val="false"/>
          <w:color w:val="000000"/>
          <w:sz w:val="28"/>
        </w:rPr>
        <w:t>
      - предоставление единого комплекса услуг по хранению, сортировке, первоначальной обработке, расфасовке, сертификации, лабораторных исследований продукции приведет к снижению себестоимости реализуемой продукции;</w:t>
      </w:r>
    </w:p>
    <w:bookmarkEnd w:id="251"/>
    <w:bookmarkStart w:name="z261" w:id="252"/>
    <w:p>
      <w:pPr>
        <w:spacing w:after="0"/>
        <w:ind w:left="0"/>
        <w:jc w:val="both"/>
      </w:pPr>
      <w:r>
        <w:rPr>
          <w:rFonts w:ascii="Times New Roman"/>
          <w:b w:val="false"/>
          <w:i w:val="false"/>
          <w:color w:val="000000"/>
          <w:sz w:val="28"/>
        </w:rPr>
        <w:t>
      - для оптовых покупателей концентрация необходимых товаров в одном месте по приемлемым ценам приводит к снижению временных затрат по закупу товаров, затрат на хранение и транспортировку товаров, что позволит снизить наценку на реализуемые товары вне рынка.</w:t>
      </w:r>
    </w:p>
    <w:bookmarkEnd w:id="252"/>
    <w:bookmarkStart w:name="z262" w:id="253"/>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доходов производителей сельхозпродукции:</w:t>
      </w:r>
    </w:p>
    <w:bookmarkEnd w:id="253"/>
    <w:bookmarkStart w:name="z263" w:id="254"/>
    <w:p>
      <w:pPr>
        <w:spacing w:after="0"/>
        <w:ind w:left="0"/>
        <w:jc w:val="both"/>
      </w:pPr>
      <w:r>
        <w:rPr>
          <w:rFonts w:ascii="Times New Roman"/>
          <w:b w:val="false"/>
          <w:i w:val="false"/>
          <w:color w:val="000000"/>
          <w:sz w:val="28"/>
        </w:rPr>
        <w:t>
      - прямой доступ к оптовым дистрибьюторам снижает затраты на поиск каналов сбыта;</w:t>
      </w:r>
    </w:p>
    <w:bookmarkEnd w:id="254"/>
    <w:bookmarkStart w:name="z264" w:id="255"/>
    <w:p>
      <w:pPr>
        <w:spacing w:after="0"/>
        <w:ind w:left="0"/>
        <w:jc w:val="both"/>
      </w:pPr>
      <w:r>
        <w:rPr>
          <w:rFonts w:ascii="Times New Roman"/>
          <w:b w:val="false"/>
          <w:i w:val="false"/>
          <w:color w:val="000000"/>
          <w:sz w:val="28"/>
        </w:rPr>
        <w:t>
      - лучшее знание конъюнктуры рынка приводит не только к справедливой рыночной цене реализации продукции, но и к более быстрой адаптации производства к требованиям рынка к реализуемой продукции;</w:t>
      </w:r>
    </w:p>
    <w:bookmarkEnd w:id="255"/>
    <w:bookmarkStart w:name="z265" w:id="256"/>
    <w:p>
      <w:pPr>
        <w:spacing w:after="0"/>
        <w:ind w:left="0"/>
        <w:jc w:val="both"/>
      </w:pPr>
      <w:r>
        <w:rPr>
          <w:rFonts w:ascii="Times New Roman"/>
          <w:b w:val="false"/>
          <w:i w:val="false"/>
          <w:color w:val="000000"/>
          <w:sz w:val="28"/>
        </w:rPr>
        <w:t>
      - возможность прямого взаимодействия с оптовыми покупателями без участия перекупщиков товаров способствует повышению прибыли непосредственно производителей продукции;</w:t>
      </w:r>
    </w:p>
    <w:bookmarkEnd w:id="256"/>
    <w:bookmarkStart w:name="z266" w:id="257"/>
    <w:p>
      <w:pPr>
        <w:spacing w:after="0"/>
        <w:ind w:left="0"/>
        <w:jc w:val="both"/>
      </w:pPr>
      <w:r>
        <w:rPr>
          <w:rFonts w:ascii="Times New Roman"/>
          <w:b w:val="false"/>
          <w:i w:val="false"/>
          <w:color w:val="000000"/>
          <w:sz w:val="28"/>
        </w:rPr>
        <w:t>
      - увеличение товарооборота, уменьшение потерь при хранении продукции, концентрация услуг по первоначальной обработке, сортировке, расфасовке товаров, сертификации и контролю качества продукции в одном месте приведут к снижению себестоимости продукции.</w:t>
      </w:r>
    </w:p>
    <w:bookmarkEnd w:id="257"/>
    <w:bookmarkStart w:name="z267" w:id="258"/>
    <w:p>
      <w:pPr>
        <w:spacing w:after="0"/>
        <w:ind w:left="0"/>
        <w:jc w:val="both"/>
      </w:pPr>
      <w:r>
        <w:rPr>
          <w:rFonts w:ascii="Times New Roman"/>
          <w:b w:val="false"/>
          <w:i w:val="false"/>
          <w:color w:val="000000"/>
          <w:sz w:val="28"/>
        </w:rPr>
        <w:t xml:space="preserve">
      </w:t>
      </w:r>
      <w:r>
        <w:rPr>
          <w:rFonts w:ascii="Times New Roman"/>
          <w:b/>
          <w:i w:val="false"/>
          <w:color w:val="000000"/>
          <w:sz w:val="28"/>
        </w:rPr>
        <w:t>Другие социально-экономические выгоды:</w:t>
      </w:r>
    </w:p>
    <w:bookmarkEnd w:id="258"/>
    <w:bookmarkStart w:name="z268" w:id="259"/>
    <w:p>
      <w:pPr>
        <w:spacing w:after="0"/>
        <w:ind w:left="0"/>
        <w:jc w:val="both"/>
      </w:pPr>
      <w:r>
        <w:rPr>
          <w:rFonts w:ascii="Times New Roman"/>
          <w:b w:val="false"/>
          <w:i w:val="false"/>
          <w:color w:val="000000"/>
          <w:sz w:val="28"/>
        </w:rPr>
        <w:t xml:space="preserve">
      - создание новых рабочих мест; </w:t>
      </w:r>
    </w:p>
    <w:bookmarkEnd w:id="259"/>
    <w:bookmarkStart w:name="z269" w:id="260"/>
    <w:p>
      <w:pPr>
        <w:spacing w:after="0"/>
        <w:ind w:left="0"/>
        <w:jc w:val="both"/>
      </w:pPr>
      <w:r>
        <w:rPr>
          <w:rFonts w:ascii="Times New Roman"/>
          <w:b w:val="false"/>
          <w:i w:val="false"/>
          <w:color w:val="000000"/>
          <w:sz w:val="28"/>
        </w:rPr>
        <w:t>
      - снижение стоимости продовольственных товаров приведет к повышению благосостоянию жителей города;</w:t>
      </w:r>
    </w:p>
    <w:bookmarkEnd w:id="260"/>
    <w:bookmarkStart w:name="z270" w:id="261"/>
    <w:p>
      <w:pPr>
        <w:spacing w:after="0"/>
        <w:ind w:left="0"/>
        <w:jc w:val="both"/>
      </w:pPr>
      <w:r>
        <w:rPr>
          <w:rFonts w:ascii="Times New Roman"/>
          <w:b w:val="false"/>
          <w:i w:val="false"/>
          <w:color w:val="000000"/>
          <w:sz w:val="28"/>
        </w:rPr>
        <w:t>
      - наличие отлаженной системы санитарного контроля продукции, улучшение условий хранения продукции поможет значительно снизить поступление к потребителю недоброкачественной продукции;</w:t>
      </w:r>
    </w:p>
    <w:bookmarkEnd w:id="261"/>
    <w:bookmarkStart w:name="z271" w:id="262"/>
    <w:p>
      <w:pPr>
        <w:spacing w:after="0"/>
        <w:ind w:left="0"/>
        <w:jc w:val="both"/>
      </w:pPr>
      <w:r>
        <w:rPr>
          <w:rFonts w:ascii="Times New Roman"/>
          <w:b w:val="false"/>
          <w:i w:val="false"/>
          <w:color w:val="000000"/>
          <w:sz w:val="28"/>
        </w:rPr>
        <w:t xml:space="preserve">
      - увеличение доходов производителей сельхозпродукции приведет к повышению оплаты труда занятых в производстве сельских жителей и снижению уровня безработицы на селе."; </w:t>
      </w:r>
    </w:p>
    <w:bookmarkEnd w:id="262"/>
    <w:bookmarkStart w:name="z272" w:id="26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2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"QazExpoCongress"</w:t>
            </w:r>
            <w:r>
              <w:br/>
            </w:r>
            <w:r>
              <w:rPr>
                <w:rFonts w:ascii="Times New Roman"/>
                <w:b w:val="false"/>
                <w:i w:val="false"/>
                <w:color w:val="000000"/>
                <w:sz w:val="20"/>
              </w:rPr>
              <w:t>на 2015 – 2024 годы";</w:t>
            </w:r>
          </w:p>
        </w:tc>
      </w:tr>
    </w:tbl>
    <w:bookmarkStart w:name="z274" w:id="264"/>
    <w:p>
      <w:pPr>
        <w:spacing w:after="0"/>
        <w:ind w:left="0"/>
        <w:jc w:val="both"/>
      </w:pPr>
      <w:r>
        <w:rPr>
          <w:rFonts w:ascii="Times New Roman"/>
          <w:b w:val="false"/>
          <w:i w:val="false"/>
          <w:color w:val="000000"/>
          <w:sz w:val="28"/>
        </w:rPr>
        <w:t>
      в приложении 2 к Стратегии развития акционерного общества "Национальная компания" Астана ЭКСПО-2017" на 2015 – 2024 годы: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3.</w:t>
      </w:r>
      <w:r>
        <w:rPr>
          <w:rFonts w:ascii="Times New Roman"/>
          <w:b w:val="false"/>
          <w:i w:val="false"/>
          <w:color w:val="000000"/>
          <w:sz w:val="28"/>
        </w:rPr>
        <w:t xml:space="preserve"> "SWOT-анализ направления функции организатора крупных КВМ и участия на выставках ЭКСПО 2020 Дубай, ЭКСПО 2023 Буэнос-Айрес и ЭКСПО 2025 Осака" изложить в следующей редакции:</w:t>
      </w:r>
    </w:p>
    <w:bookmarkStart w:name="z276"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8596"/>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Сильные стороны</w:t>
            </w:r>
            <w:r>
              <w:br/>
            </w:r>
            <w:r>
              <w:rPr>
                <w:rFonts w:ascii="Times New Roman"/>
                <w:b w:val="false"/>
                <w:i w:val="false"/>
                <w:color w:val="000000"/>
                <w:sz w:val="20"/>
              </w:rPr>
              <w:t>
</w:t>
            </w:r>
          </w:p>
          <w:bookmarkEnd w:id="266"/>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рабочих связей с единственным акционером общества;</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у Общества опыта подготовки и проведения крупных мероприятий, в том числе международного уровня;</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опыта международного сотрудничества, переговоров с иностранными партнерами;</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сильный бренд Общества в части проведения КВМ.</w:t>
            </w: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7"/>
          <w:p>
            <w:pPr>
              <w:spacing w:after="20"/>
              <w:ind w:left="20"/>
              <w:jc w:val="both"/>
            </w:pPr>
            <w:r>
              <w:rPr>
                <w:rFonts w:ascii="Times New Roman"/>
                <w:b w:val="false"/>
                <w:i w:val="false"/>
                <w:color w:val="000000"/>
                <w:sz w:val="20"/>
              </w:rPr>
              <w:t>
Слабые стороны</w:t>
            </w:r>
            <w:r>
              <w:br/>
            </w:r>
            <w:r>
              <w:rPr>
                <w:rFonts w:ascii="Times New Roman"/>
                <w:b w:val="false"/>
                <w:i w:val="false"/>
                <w:color w:val="000000"/>
                <w:sz w:val="20"/>
              </w:rPr>
              <w:t>
</w:t>
            </w:r>
          </w:p>
          <w:bookmarkEnd w:id="267"/>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выделенного структурного подразделения, занимающегося КВМ, в соответствии с лучшими мировыми практиками;</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комплексной информационной системы в части управления конгрессно-выставочной деятельностью;</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базы собственных мероприятий.</w:t>
            </w: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Возможности</w:t>
            </w:r>
            <w:r>
              <w:br/>
            </w:r>
            <w:r>
              <w:rPr>
                <w:rFonts w:ascii="Times New Roman"/>
                <w:b w:val="false"/>
                <w:i w:val="false"/>
                <w:color w:val="000000"/>
                <w:sz w:val="20"/>
              </w:rPr>
              <w:t>
</w:t>
            </w:r>
          </w:p>
          <w:bookmarkEnd w:id="268"/>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занятие ниши проведения государственных КВМ;</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стратегическое партнерство с ведущими игроками на рынке КВМ в части аренды выставочных площадей;</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увеличение загрузки конгресс-центра и выставочного центра ввиду повышения количества мероприятий, проводимых Обществом</w:t>
            </w: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Угрозы</w:t>
            </w:r>
            <w:r>
              <w:br/>
            </w:r>
            <w:r>
              <w:rPr>
                <w:rFonts w:ascii="Times New Roman"/>
                <w:b w:val="false"/>
                <w:i w:val="false"/>
                <w:color w:val="000000"/>
                <w:sz w:val="20"/>
              </w:rPr>
              <w:t>
</w:t>
            </w:r>
          </w:p>
          <w:bookmarkEnd w:id="269"/>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нестабильность мировой экономики, волатильность цен на сырье, рост стоимости заемного капитала, отток инвестиций, падение экономической активности могут привести к снижению интереса к КВМ со стороны как национальных, так и иностранных участников;</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низкая прибыльность проводимых мероприятий в связи с давлением на бюджет со стороны заказчиков;</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конкуренция на рынке.</w:t>
            </w:r>
            <w:r>
              <w:br/>
            </w:r>
            <w:r>
              <w:rPr>
                <w:rFonts w:ascii="Times New Roman"/>
                <w:b w:val="false"/>
                <w:i w:val="false"/>
                <w:color w:val="000000"/>
                <w:sz w:val="20"/>
              </w:rPr>
              <w:t>
</w:t>
            </w:r>
          </w:p>
        </w:tc>
      </w:tr>
    </w:tbl>
    <w:bookmarkStart w:name="z290" w:id="270"/>
    <w:p>
      <w:pPr>
        <w:spacing w:after="0"/>
        <w:ind w:left="0"/>
        <w:jc w:val="both"/>
      </w:pPr>
      <w:r>
        <w:rPr>
          <w:rFonts w:ascii="Times New Roman"/>
          <w:b w:val="false"/>
          <w:i w:val="false"/>
          <w:color w:val="000000"/>
          <w:sz w:val="28"/>
        </w:rPr>
        <w:t>
      ";</w:t>
      </w:r>
    </w:p>
    <w:bookmarkEnd w:id="270"/>
    <w:bookmarkStart w:name="z291" w:id="271"/>
    <w:p>
      <w:pPr>
        <w:spacing w:after="0"/>
        <w:ind w:left="0"/>
        <w:jc w:val="both"/>
      </w:pPr>
      <w:r>
        <w:rPr>
          <w:rFonts w:ascii="Times New Roman"/>
          <w:b w:val="false"/>
          <w:i w:val="false"/>
          <w:color w:val="000000"/>
          <w:sz w:val="28"/>
        </w:rPr>
        <w:t>
      дополнить таблицей 6 следующего содержания:</w:t>
      </w:r>
    </w:p>
    <w:bookmarkEnd w:id="271"/>
    <w:bookmarkStart w:name="z292" w:id="272"/>
    <w:p>
      <w:pPr>
        <w:spacing w:after="0"/>
        <w:ind w:left="0"/>
        <w:jc w:val="both"/>
      </w:pPr>
      <w:r>
        <w:rPr>
          <w:rFonts w:ascii="Times New Roman"/>
          <w:b w:val="false"/>
          <w:i w:val="false"/>
          <w:color w:val="000000"/>
          <w:sz w:val="28"/>
        </w:rPr>
        <w:t>
      "Таблица 6. SWOT-анализ направления функции. Развитие торговой инфраструктуры: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4"/>
        <w:gridCol w:w="6026"/>
      </w:tblGrid>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Сильные стороны</w:t>
            </w:r>
            <w:r>
              <w:br/>
            </w:r>
            <w:r>
              <w:rPr>
                <w:rFonts w:ascii="Times New Roman"/>
                <w:b w:val="false"/>
                <w:i w:val="false"/>
                <w:color w:val="000000"/>
                <w:sz w:val="20"/>
              </w:rPr>
              <w:t>
</w:t>
            </w:r>
          </w:p>
          <w:bookmarkEnd w:id="273"/>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рабочих связей с единственным акционером общества (Министерство торговли и интеграции Республики Казахстан);</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опыта в строительстве специализированных и уникальных объектов;</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опыта реализации крупных инвестиционных проектов;</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опыта международного сотрудничества, переговоров с иностранными партнерами;</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сильный бренд Общества. </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Слабые стороны</w:t>
            </w:r>
            <w:r>
              <w:br/>
            </w:r>
            <w:r>
              <w:rPr>
                <w:rFonts w:ascii="Times New Roman"/>
                <w:b w:val="false"/>
                <w:i w:val="false"/>
                <w:color w:val="000000"/>
                <w:sz w:val="20"/>
              </w:rPr>
              <w:t>
</w:t>
            </w:r>
          </w:p>
          <w:bookmarkEnd w:id="274"/>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выделенного структурного подразделения, занимающегося развитием ОРЦ, в соответствии с лучшими мировыми практиками;</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комплексной информационной системы в части управления сетью ОРЦ и всей торговой инфраструктурой.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Возможности</w:t>
            </w:r>
            <w:r>
              <w:br/>
            </w:r>
            <w:r>
              <w:rPr>
                <w:rFonts w:ascii="Times New Roman"/>
                <w:b w:val="false"/>
                <w:i w:val="false"/>
                <w:color w:val="000000"/>
                <w:sz w:val="20"/>
              </w:rPr>
              <w:t>
</w:t>
            </w:r>
          </w:p>
          <w:bookmarkEnd w:id="275"/>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занятие ниши организации товаропроводящей системы на территории РК и за ее пределами;</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стратегическое партнерство со всеми участниками торговой инфраструктуры;</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создание единой организационной структуры по эффективному межрегиональному перераспределению внутренних и внешних торговых потоков продовольствия.</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Угрозы</w:t>
            </w:r>
            <w:r>
              <w:br/>
            </w:r>
            <w:r>
              <w:rPr>
                <w:rFonts w:ascii="Times New Roman"/>
                <w:b w:val="false"/>
                <w:i w:val="false"/>
                <w:color w:val="000000"/>
                <w:sz w:val="20"/>
              </w:rPr>
              <w:t>
</w:t>
            </w:r>
          </w:p>
          <w:bookmarkEnd w:id="276"/>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срыв сроков завершения проекта;</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срыв сроков и объемов финансирования;</w:t>
            </w:r>
            <w:r>
              <w:br/>
            </w: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временные и финансовые издержки при поиске партнеров по ГЧП</w:t>
            </w:r>
            <w:r>
              <w:br/>
            </w:r>
            <w:r>
              <w:rPr>
                <w:rFonts w:ascii="Times New Roman"/>
                <w:b w:val="false"/>
                <w:i w:val="false"/>
                <w:color w:val="000000"/>
                <w:sz w:val="20"/>
              </w:rPr>
              <w:t>
</w:t>
            </w:r>
          </w:p>
        </w:tc>
      </w:tr>
    </w:tbl>
    <w:bookmarkStart w:name="z307" w:id="277"/>
    <w:p>
      <w:pPr>
        <w:spacing w:after="0"/>
        <w:ind w:left="0"/>
        <w:jc w:val="both"/>
      </w:pPr>
      <w:r>
        <w:rPr>
          <w:rFonts w:ascii="Times New Roman"/>
          <w:b w:val="false"/>
          <w:i w:val="false"/>
          <w:color w:val="000000"/>
          <w:sz w:val="28"/>
        </w:rPr>
        <w:t>
      ";</w:t>
      </w:r>
    </w:p>
    <w:bookmarkEnd w:id="277"/>
    <w:bookmarkStart w:name="z308" w:id="27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 xml:space="preserve">"Национальная компания "QazExpoCongress" </w:t>
            </w:r>
            <w:r>
              <w:br/>
            </w:r>
            <w:r>
              <w:rPr>
                <w:rFonts w:ascii="Times New Roman"/>
                <w:b w:val="false"/>
                <w:i w:val="false"/>
                <w:color w:val="000000"/>
                <w:sz w:val="20"/>
              </w:rPr>
              <w:t>на 2015 – 2024 годы";</w:t>
            </w:r>
          </w:p>
        </w:tc>
      </w:tr>
    </w:tbl>
    <w:p>
      <w:pPr>
        <w:spacing w:after="0"/>
        <w:ind w:left="0"/>
        <w:jc w:val="left"/>
      </w:pPr>
      <w:r>
        <w:br/>
      </w:r>
      <w:r>
        <w:rPr>
          <w:rFonts w:ascii="Times New Roman"/>
          <w:b w:val="false"/>
          <w:i w:val="false"/>
          <w:color w:val="000000"/>
          <w:sz w:val="28"/>
        </w:rPr>
        <w:t>
</w:t>
      </w:r>
    </w:p>
    <w:bookmarkStart w:name="z310" w:id="27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"QazExpoCongress"</w:t>
            </w:r>
            <w:r>
              <w:br/>
            </w:r>
            <w:r>
              <w:rPr>
                <w:rFonts w:ascii="Times New Roman"/>
                <w:b w:val="false"/>
                <w:i w:val="false"/>
                <w:color w:val="000000"/>
                <w:sz w:val="20"/>
              </w:rPr>
              <w:t>на 2015 – 2024 годы";</w:t>
            </w:r>
          </w:p>
        </w:tc>
      </w:tr>
    </w:tbl>
    <w:p>
      <w:pPr>
        <w:spacing w:after="0"/>
        <w:ind w:left="0"/>
        <w:jc w:val="left"/>
      </w:pPr>
      <w:r>
        <w:br/>
      </w:r>
      <w:r>
        <w:rPr>
          <w:rFonts w:ascii="Times New Roman"/>
          <w:b w:val="false"/>
          <w:i w:val="false"/>
          <w:color w:val="000000"/>
          <w:sz w:val="28"/>
        </w:rPr>
        <w:t>
</w:t>
      </w:r>
    </w:p>
    <w:bookmarkStart w:name="z312" w:id="28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"QazExpoCongress"</w:t>
            </w:r>
            <w:r>
              <w:br/>
            </w:r>
            <w:r>
              <w:rPr>
                <w:rFonts w:ascii="Times New Roman"/>
                <w:b w:val="false"/>
                <w:i w:val="false"/>
                <w:color w:val="000000"/>
                <w:sz w:val="20"/>
              </w:rPr>
              <w:t>на 2015 – 2024 годы";</w:t>
            </w:r>
          </w:p>
        </w:tc>
      </w:tr>
    </w:tbl>
    <w:bookmarkStart w:name="z314" w:id="281"/>
    <w:p>
      <w:pPr>
        <w:spacing w:after="0"/>
        <w:ind w:left="0"/>
        <w:jc w:val="both"/>
      </w:pPr>
      <w:r>
        <w:rPr>
          <w:rFonts w:ascii="Times New Roman"/>
          <w:b w:val="false"/>
          <w:i w:val="false"/>
          <w:color w:val="000000"/>
          <w:sz w:val="28"/>
        </w:rPr>
        <w:t>
      в приложении 5 к стратегии развития акционерного общества "Национальная компания" Астана ЭКСПО-2017" на 2015 – 2024 годы: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Карта КПД для стратегических целей актуализированной Стратегии развития изложить в следующей редакции:</w:t>
      </w:r>
    </w:p>
    <w:bookmarkStart w:name="z316"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74"/>
        <w:gridCol w:w="2075"/>
        <w:gridCol w:w="2247"/>
        <w:gridCol w:w="2377"/>
        <w:gridCol w:w="819"/>
        <w:gridCol w:w="730"/>
        <w:gridCol w:w="730"/>
        <w:gridCol w:w="730"/>
        <w:gridCol w:w="730"/>
        <w:gridCol w:w="73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г.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объектами и имуществом, включая коммерциализацию сервисных услуг</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сдачи офисной и торговой недвижимости в аренду 11,1 млрд тенге в 2024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процессов маркетинга и продаж и взаимоотношения с клиентами</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11,1 млрд тенге к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процессов управления жизненным циклом активов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процессов по управлению объектами в аутсорсинг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КВМ и участие в международных мероприятиях</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xml:space="preserve">
Выручка от проведения КВМ 7,4 млрд. тенге </w:t>
            </w:r>
            <w:r>
              <w:br/>
            </w:r>
            <w:r>
              <w:rPr>
                <w:rFonts w:ascii="Times New Roman"/>
                <w:b w:val="false"/>
                <w:i w:val="false"/>
                <w:color w:val="000000"/>
                <w:sz w:val="20"/>
              </w:rPr>
              <w:t>
в 2024 г.</w:t>
            </w:r>
          </w:p>
          <w:bookmarkEnd w:id="283"/>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управление портфелем мероприятий</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7,4 млрд. тенге в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модели управления площадками для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в том числе на выставках ЭКСПО 2020 Дубай, ЭКСПО 2023 Буэнос-Айрес и ЭКСПО 2025 Осака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успешного участия на специализированных и мировых выставках ЭКСПО, в том числе ЭКСПО 2020 Дубай, ЭКСПО 2023 Буэнос-Айрес, ЭКСПО 2025 Осака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Казахстанского павильона на специализированных выставках ЭКСПО – не менее 1 млн. человек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человек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человек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вовлечения Общества в международные мероприятия, в которых участвуют казахстанские государственные и квазигосударственные структуры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Общества в 2 международных мероприятиях к 2021 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w:t>
            </w:r>
            <w:r>
              <w:br/>
            </w:r>
            <w:r>
              <w:rPr>
                <w:rFonts w:ascii="Times New Roman"/>
                <w:b w:val="false"/>
                <w:i w:val="false"/>
                <w:color w:val="000000"/>
                <w:sz w:val="20"/>
              </w:rPr>
              <w:t>сферы "Нур-Алем" как символа нового делового центра, точки притяжения туристов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посещаемости сферы до 350 тыс. человек в год к 2024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по регулярному обновлению контента сферы "Нур-Алем"</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посетителей Сферы – 350 тыс. человек к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человек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человек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человек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тыс. человек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тыс. человек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тыс.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функции интернет-маркетинга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гибкой ценовой политики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доли дополнительной выручки (за исключением билетов) 10% в структуре общих доходов сферы "Нур-Алем" к 2024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точек розничной торговли</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дополнительных доходов (за исключением билетов) в общей выручке сферы "Нур-Алем" - 10% к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услуг и развлечений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денежных средств от реализации инвестиционных проектов - 5 млрд тенге к 2024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с использованием вакантных земельных участков, находящихся на балансе Общества, до 2024 г.</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от реализованных инвестиционных проектов в размере 5 млрд тенге к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млрд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инвестиционных проектов, достижение полного исполнения обязательств по инвестиционным проектам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Общества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социально-трудовых отношений на основе принципа социального партнерства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вовлеченности персонала – 70% к 2024 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непрерывной подготовки кадров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менее 15% к 2024 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операционной безубыточности к 2024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xml:space="preserve">
Внедрение системы обслуживания ориентированного </w:t>
            </w:r>
            <w:r>
              <w:br/>
            </w:r>
            <w:r>
              <w:rPr>
                <w:rFonts w:ascii="Times New Roman"/>
                <w:b w:val="false"/>
                <w:i w:val="false"/>
                <w:color w:val="000000"/>
                <w:sz w:val="20"/>
              </w:rPr>
              <w:t>
на надежности (RCM)</w:t>
            </w:r>
          </w:p>
          <w:bookmarkEnd w:id="284"/>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Общества &gt;15% в 2024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"умных" технологий для сокращения расходов на 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Общества к 2020 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модели бизнес-процессов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бизнес-процессов на 100% к 2021 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организационной структуры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организационной структуры на 100% к 2021 г.</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оптимизированной системы показателей эффективности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управление ОРЦ</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товаропроводящей системы на территории РК и за его пределами</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сети ОРЦ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(выделение, отвод и оформление) земельных участков под строительство ОРЦ к 2022 году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ОРЦ* - 24 ОРЦ к 2023 году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ОРЦ</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управляющей компании на основе принципов государственно-частного партнерства – не менее 1 оператора к 2023 году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85"/>
    <w:p>
      <w:pPr>
        <w:spacing w:after="0"/>
        <w:ind w:left="0"/>
        <w:jc w:val="both"/>
      </w:pPr>
      <w:r>
        <w:rPr>
          <w:rFonts w:ascii="Times New Roman"/>
          <w:b w:val="false"/>
          <w:i w:val="false"/>
          <w:color w:val="000000"/>
          <w:sz w:val="28"/>
        </w:rPr>
        <w:t>
      Примечание:</w:t>
      </w:r>
    </w:p>
    <w:bookmarkEnd w:id="285"/>
    <w:bookmarkStart w:name="z320" w:id="286"/>
    <w:p>
      <w:pPr>
        <w:spacing w:after="0"/>
        <w:ind w:left="0"/>
        <w:jc w:val="both"/>
      </w:pPr>
      <w:r>
        <w:rPr>
          <w:rFonts w:ascii="Times New Roman"/>
          <w:b w:val="false"/>
          <w:i w:val="false"/>
          <w:color w:val="000000"/>
          <w:sz w:val="28"/>
        </w:rPr>
        <w:t>
      * с учетом налоговых льгот (налог на имущество Общества 0,1%);</w:t>
      </w:r>
    </w:p>
    <w:bookmarkEnd w:id="286"/>
    <w:bookmarkStart w:name="z321" w:id="287"/>
    <w:p>
      <w:pPr>
        <w:spacing w:after="0"/>
        <w:ind w:left="0"/>
        <w:jc w:val="both"/>
      </w:pPr>
      <w:r>
        <w:rPr>
          <w:rFonts w:ascii="Times New Roman"/>
          <w:b w:val="false"/>
          <w:i w:val="false"/>
          <w:color w:val="000000"/>
          <w:sz w:val="28"/>
        </w:rPr>
        <w:t>
      ** строительство включает в себя разработку проектно-сметной документации, экспертизу, бюджетирование, определение подрядчика, строительство ОРЦ.</w:t>
      </w:r>
    </w:p>
    <w:bookmarkEnd w:id="287"/>
    <w:bookmarkStart w:name="z322" w:id="288"/>
    <w:p>
      <w:pPr>
        <w:spacing w:after="0"/>
        <w:ind w:left="0"/>
        <w:jc w:val="both"/>
      </w:pPr>
      <w:r>
        <w:rPr>
          <w:rFonts w:ascii="Times New Roman"/>
          <w:b w:val="false"/>
          <w:i w:val="false"/>
          <w:color w:val="000000"/>
          <w:sz w:val="28"/>
        </w:rPr>
        <w:t>
      Ввод в эксплуатацию по мере завершения строительства.";</w:t>
      </w:r>
    </w:p>
    <w:bookmarkEnd w:id="288"/>
    <w:bookmarkStart w:name="z323" w:id="28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"QazExpoCongress"</w:t>
            </w:r>
            <w:r>
              <w:br/>
            </w:r>
            <w:r>
              <w:rPr>
                <w:rFonts w:ascii="Times New Roman"/>
                <w:b w:val="false"/>
                <w:i w:val="false"/>
                <w:color w:val="000000"/>
                <w:sz w:val="20"/>
              </w:rPr>
              <w:t>на 2015 – 2024 годы".</w:t>
            </w:r>
          </w:p>
        </w:tc>
      </w:tr>
    </w:tbl>
    <w:bookmarkStart w:name="z325" w:id="290"/>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