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66d4" w14:textId="5b36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программно-целевом финансировании вне конкурсных процедур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2020 года № 345.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программно-целевое финансирование вне конкурсных процедур на 2020 − 2022 годы из республиканского бюджета осуществляется по научно-технической программе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 345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Научно-техническая программа, программно-целевое финансирование которой осуществляется из республиканского бюджета вне конкурсных процедур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вакцины против коронавирусной инфекции COVID-19" на 2020 − 2022 годы.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