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dbdf" w14:textId="ed2d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лимита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2018 года № 349.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лимита предоставления государственных гарантий и поручительств государств,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расчет лимита осуществляется исходя из прогноза бюджетных программ развития, учтенного при расчете трансфертов общего характера, на планируемый трехлетний период местного исполнительного органа области, города республиканского значения, столицы с учетом поправочных коэффициентов.";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указанным Правилам: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Определяемый лимит должен соответствовать следующему требованию: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&lt; MaxL*k, где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– лимит долга местного исполнительного органа области, города республиканского значения, столицы в планируемом финансовом году в отношении к его прогнозу бюджетных программ развития, учтенного при расчете трансфертов общего характера, на планируемый трехлетний период;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MaxL – максимальный лимит долга местного исполнительного органа области, города республиканского значения, столицы, который составляет 100 % от прогноза бюджетных программ развития, учтенного при расчете трансфертов общего характера на планируемый трехлетний период;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местных исполнительных органов областей, города республиканского значения, столицы (k=0,8 для регионов, получающих бюджетные субвенции из республиканского бюджета; k=1 для регионов, перечисляющих бюджетные изъятия в республиканский бюджет).".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