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573b4" w14:textId="1057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Латвийской Республики по сотрудничеству в области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июля 2014 года № 809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Латвийской Республики по сотрудничеству в области охраны окружающей среды, совершенное в Астане 3 июня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июля 2014 года № 809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Правительством Латвийской Республики</w:t>
      </w:r>
      <w:r>
        <w:br/>
      </w:r>
      <w:r>
        <w:rPr>
          <w:rFonts w:ascii="Times New Roman"/>
          <w:b/>
          <w:i w:val="false"/>
          <w:color w:val="000000"/>
        </w:rPr>
        <w:t>
по сотрудничеству в области охраны окружающей среды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Латвийской Республики,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дружественные отношения между Республикой Казахстан и Латвийской Республикой,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общепринятыми принципами и нормами международного права,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следуя Рио-де-Жанейрской </w:t>
      </w:r>
      <w:r>
        <w:rPr>
          <w:rFonts w:ascii="Times New Roman"/>
          <w:b w:val="false"/>
          <w:i w:val="false"/>
          <w:color w:val="000000"/>
          <w:sz w:val="28"/>
        </w:rPr>
        <w:t>декларации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окружающей среде и развитию, принятой в Рио-де-Жанейро 14 июня 1992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 </w:t>
      </w:r>
      <w:r>
        <w:rPr>
          <w:rFonts w:ascii="Times New Roman"/>
          <w:b w:val="false"/>
          <w:i w:val="false"/>
          <w:color w:val="000000"/>
          <w:sz w:val="28"/>
        </w:rPr>
        <w:t>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доступе к информации, участии общественности в процессе принятия решений и доступе к правосудию по вопросам, касающимся окружающей среды, принятой в Орхусе 25 июня 1998 года, </w:t>
      </w:r>
      <w:r>
        <w:rPr>
          <w:rFonts w:ascii="Times New Roman"/>
          <w:b w:val="false"/>
          <w:i w:val="false"/>
          <w:color w:val="000000"/>
          <w:sz w:val="28"/>
        </w:rPr>
        <w:t>Декларацию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тысячелетия Организации Объединенных Наций, подписанную 8 сентября 2000 года, Йоханнесбургскую декларацию по устойчивому развитию и План действий, принятый в Йоханнесбурге 4 сентября 2002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Компетентными органами Сторон по реализации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стороны Республики Казахстан - Министерство охраны окружающей среды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стороны Латвийской Республики - Министерство окружающей среды и регионального развития Латвийской Республики.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развивают и расширяют взаимовыгодное сотрудничество в области охраны окружающей среды и предотвращения экологического загрязнения в интересах государств обеих Сторон, способствуют дальнейшему развитию экономических, научно-технических контактов, для совместного решения глобальных и региональных экологических проблем.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Сотрудничество Сторон в области охраны окружающей среды осуществляется в рамках национальных законодательств своих государств, с учетом принятых международных обязательств, в следующих направлениях: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управление охраняемыми природными территориями;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сохранение биологического разнообразия;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глобальное изменение климата;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защита озонового слоя;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борьба с опустыниванием;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трансграничное загрязнение воздуха;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управление отходами;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охрана и использование водных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энергоэффективность и энергосбережение;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мониторинг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иные сферы сотрудничества, согласованные Сторонами.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Сотрудничество в области охраны окружающей среды осуществляется по взаимному согласию Сторон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научно-технической информацией и документацией в области научно-исследовательской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опытом по совершенствованию национального законодательства и методической базы для реализации Киотского протокола и для развития экологически чистых технологий, возобновляемых источников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доступными экологическими технологиями;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экспертами.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способствуют установлению прямых связей и развитию сотрудничества между учреждениями, физическими и юридическими лицами своих государств, которые занимаются вопросами окружающей среды.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самостоятельно несут расходы, возникающие в ходе выполнения настоящего Соглашения, в пределах средств, предусмотренных национальным законодательством своих государств, если Стороны не договорятся об ином.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Споры, возникающие относительно толкования и применения положений настоящего Соглашения, разрешаются путем переговоров и консультаций между Сторонами.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Положения настоящего Соглашения не затрагивают прав и обязательств каждой из Сторон, вытекающих из других международных договоров, участниками которых являются их государства.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изменения и дополнения могут быть внесены по взаимному согласию Сторон. Такие изменения и дополнения оформляются отдельными протоколами и являются неотъемлемой частью настоящего Соглашения.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заключается на неопределенный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последнего письменного уведомления по дипломатическим каналам, подтверждающего выполнение Сторонами конституционных и/или законодательных требований,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прекратить действие настоящего Соглашения, письменно уведомив о своем намерении по дипломатическим каналам другую Сторону. Любое такое прекращение вступает в силу через и/есть месяцев после даты получения такого уведомления другой Стороной.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освобождает Стороны от выполнения обязательств, принятых в период его действия, если Стороны не договорятся об ином.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Астане, 3 июня 2013 года, в двух экземплярах, каждый на казахском, латышском, русском и английском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Соглашения, текст на английском языке имеет преимущественную силу.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00"/>
        <w:gridCol w:w="6500"/>
      </w:tblGrid>
      <w:tr>
        <w:trPr>
          <w:trHeight w:val="30" w:hRule="atLeast"/>
        </w:trPr>
        <w:tc>
          <w:tcPr>
            <w:tcW w:w="6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Латвийской Республики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