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5b1a7" w14:textId="845b1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Протокола об использовании унифицированной нормативно-справочной информации таможенных служб государств-членов Евразийского экономического сообщества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января 2013 года № 31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Протокол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использовании унифицированной нормативно-справочной информации таможенных служб государств-членов Евразийского экономического сообщества, совершенный в городе Минске 19 мая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января 2013 года № 31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ПРОТОКОЛ</w:t>
      </w:r>
      <w:r>
        <w:br/>
      </w:r>
      <w:r>
        <w:rPr>
          <w:rFonts w:ascii="Times New Roman"/>
          <w:b/>
          <w:i w:val="false"/>
          <w:color w:val="000000"/>
        </w:rPr>
        <w:t>
об использовании унифицированной нормативно-справочной</w:t>
      </w:r>
      <w:r>
        <w:br/>
      </w:r>
      <w:r>
        <w:rPr>
          <w:rFonts w:ascii="Times New Roman"/>
          <w:b/>
          <w:i w:val="false"/>
          <w:color w:val="000000"/>
        </w:rPr>
        <w:t>
информации таможенных служб государств-членов</w:t>
      </w:r>
      <w:r>
        <w:br/>
      </w:r>
      <w:r>
        <w:rPr>
          <w:rFonts w:ascii="Times New Roman"/>
          <w:b/>
          <w:i w:val="false"/>
          <w:color w:val="000000"/>
        </w:rPr>
        <w:t>
Евразийского экономического сообщества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(Вступил в силу 12 марта 2013 года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Бюллетень международных договоров РК 2013 г., № 2, ст. 21)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Правительства государств - членов Евразийского экономического сообщества, далее именуемые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Таможенном союзе и Едином экономическом пространстве от 26 февраля 1999 года и 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учреждении Евразийского экономического сообщества от 10 октября 2000 года, принимая во внимание </w:t>
      </w:r>
      <w:r>
        <w:rPr>
          <w:rFonts w:ascii="Times New Roman"/>
          <w:b w:val="false"/>
          <w:i w:val="false"/>
          <w:color w:val="000000"/>
          <w:sz w:val="28"/>
        </w:rPr>
        <w:t>статью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единых подходах к применению информационных технологий в деятельности таможенных служб государств-членов Евразийского экономического сообщества от 9 июня 2009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стремясь к обеспечению информационной совместимости автоматизированных систем таможенных служб государств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осознавая необходимость интеграции информационных ресурсов таможенных служб государств - членов ЕврАзЭС на основе организации информационного взаимодействия между таможенными службами государств Сторон с использованием унифицированной системы классификации и кодирования информации, используемой при осуществлении таможенного контроля за перемещением товаров и транспортных средств через границы государств - членов ЕврАзЭС,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признавая международные стандарты классификации и кодирования информации и необходимость их использования для информационного взаимодействия между таможенными службами государств Сторон,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3"/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настоящего Протокола используемые термины имеют следующее значение: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«справочник» - систематизированный, структурированный и кодифицированный перечень однородной по своему содержанию или сути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«классификатор» - систематизированный, структурированный и кодифицированный перечень наименований объектов классификации;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«нормативно-справочная информация» - совокупность справочников и классификаторов, которые используются при осуществлении информационного обмена между таможенными службами государств-членов ЕврАзЭС;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«унифицированная система классификации и кодирования информации» - совокупность справочников, классификаторов нормативно-справочной информации, а также порядка и методологии их разработки, ведения и применения.</w:t>
      </w:r>
    </w:p>
    <w:bookmarkEnd w:id="5"/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Целью настоящего Протокола является создание условий для поэтапного формирования унифицированной системы классификации и кодирования информации, необходимой для осуществления информационного взаимодействия таможенных служб государств - членов ЕврАзЭС в рамках реализации 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единых подходах к применению информационных технологий в деятельности таможенных служб государств - членов ЕврАзЭС от 9 июня 2009 года.</w:t>
      </w:r>
    </w:p>
    <w:bookmarkEnd w:id="7"/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Таможенные службы государств Сторон формируют унифицированную систему классификации и кодирования информации для ее использования при информационном обмене между информационными системами таможенных служб государств Сторон.</w:t>
      </w:r>
    </w:p>
    <w:bookmarkEnd w:id="9"/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формирования унифицированной системы классификации и кодирования информации таможенные службы государств Сторон применяют нижеследующие правила, рекомендованные Европейской экономической комиссией Организации Объединенных Наций: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код типа транспортного средства должен соответствовать классификатору видов транспорта (Рекомендация № 19 Рабочей группы по упрощению процедур международной торговли);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код страны должен соответствовать справочнику ISO 3166-2006 «Коды для представления наименований стран»;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код валюты должен соответствовать справочнику ISO 4217-2000 «Коды для представления валют и фондов»;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коды и наименования дополнительных единиц измерения должны соответствовать справочнику кодов и наименований для единиц измерения, используемых в международной торговле (Рекомендация № 20 Рабочей группы по упрощению процедур международной торговли. «Коды для единиц измерения, используемых в международной торговле»).</w:t>
      </w:r>
    </w:p>
    <w:bookmarkEnd w:id="11"/>
    <w:bookmarkStart w:name="z2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формировании таможенными службами государств Сторон информации, подлежащей обмену между информационными системами таможенных служб государств Сторон, применяются коды товаров общей Товарной номенклатуры внешнеэкономической деятельности Евразийского экономического сообщества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Соглашением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общей Товарной номенклатуре внешнеэкономической деятельности Евразийского экономического сообщества от 20 сентября 2002 года.</w:t>
      </w:r>
    </w:p>
    <w:bookmarkEnd w:id="13"/>
    <w:bookmarkStart w:name="z2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Таможенные службы государств Сторон унифицируют нормативные правовые акты, регламентирующие порядок формирования и использования справочников и классификаторов в автоматизированных информационных системах таможенных служб государств Сторон в соответствии с правилами, указанными в </w:t>
      </w:r>
      <w:r>
        <w:rPr>
          <w:rFonts w:ascii="Times New Roman"/>
          <w:b w:val="false"/>
          <w:i w:val="false"/>
          <w:color w:val="000000"/>
          <w:sz w:val="28"/>
        </w:rPr>
        <w:t>статье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Протокола.</w:t>
      </w:r>
    </w:p>
    <w:bookmarkEnd w:id="15"/>
    <w:bookmarkStart w:name="z2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Таможенные службы государств Сторон организуют совместную работу по установлению соответствия между унифицированной нормативно-справочной информацией и Моделью данных, рекомендуемой Всемирной таможенной организацией.</w:t>
      </w:r>
    </w:p>
    <w:bookmarkEnd w:id="17"/>
    <w:bookmarkStart w:name="z3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Таможенные службы государств Сторон могут на основе двухсторонних или многосторонних международных договоров расширять перечень правил формирования унифицированных справочников и классификаторов, приведенных в </w:t>
      </w:r>
      <w:r>
        <w:rPr>
          <w:rFonts w:ascii="Times New Roman"/>
          <w:b w:val="false"/>
          <w:i w:val="false"/>
          <w:color w:val="000000"/>
          <w:sz w:val="28"/>
        </w:rPr>
        <w:t>статье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Протокола.</w:t>
      </w:r>
    </w:p>
    <w:bookmarkEnd w:id="19"/>
    <w:bookmarkStart w:name="z3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Споры и разногласия между Сторонами, связанные с применением или толкованием положений настоящего Протокола, разрешаются путем консультаций и переговоров между ними.</w:t>
      </w:r>
    </w:p>
    <w:bookmarkEnd w:id="21"/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взаимному согласию Сторон в настоящий Протокол могут вноситься изменения и дополнения, которые оформляются отдельными протоколами, являющимися его неотъемлемыми частями.</w:t>
      </w:r>
    </w:p>
    <w:bookmarkEnd w:id="23"/>
    <w:bookmarkStart w:name="z3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вступает в силу с даты получения депозитарием, которым является Интеграционный Комитет ЕврАзЭС, последнего письменного уведомления о выполнении Сторонами внутригосударственных процедур, необходимых для его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заключается на неопределенный срок. Любая Сторона может выйти из настоящего Протокола, направив соответствующее письменное уведомление депозитарию. Действие настоящего Протокола для такой Стороны прекращается по истечении 6 месяцев с даты получения депозитарием такого уведомления.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Минске 19 мая 2011 года в одном подлинном экземпляре на русском языке.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Протокола сдается на хранение в Интеграционный Комитет Евразийского экономического сообщества, который направит каждой из Сторон его заверенную копию.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81"/>
        <w:gridCol w:w="7181"/>
      </w:tblGrid>
      <w:tr>
        <w:trPr>
          <w:trHeight w:val="75" w:hRule="atLeast"/>
        </w:trPr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Кыргызской Республики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81"/>
        <w:gridCol w:w="7181"/>
      </w:tblGrid>
      <w:tr>
        <w:trPr>
          <w:trHeight w:val="75" w:hRule="atLeast"/>
        </w:trPr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Беларусь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Таджикистан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7"/>
        <w:gridCol w:w="7143"/>
      </w:tblGrid>
      <w:tr>
        <w:trPr>
          <w:trHeight w:val="75" w:hRule="atLeast"/>
        </w:trPr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Российской Федерации 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