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3e93" w14:textId="fe13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и утверждения норм потребления товарного и сжиженного нефтяного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2012 года № 927. Утратило силу постановлением Правительства Республики Казахстан от 26 октября 2018 года № 688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"О газе и газоснабжении"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утверждения норм потребления товарного и сжиженного нефтяного газа.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2012 года № 927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и утверждения норм потребления товарного и сжиженного</w:t>
      </w:r>
      <w:r>
        <w:br/>
      </w:r>
      <w:r>
        <w:rPr>
          <w:rFonts w:ascii="Times New Roman"/>
          <w:b/>
          <w:i w:val="false"/>
          <w:color w:val="000000"/>
        </w:rPr>
        <w:t>нефтяного газа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и утверждения норм потребления товарного и сжиженного нефтяного газа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(далее - Закон) и определяют порядок расчета и утверждения норм потребления товарного и сжиженного нефтяного газа при отсутствии приборов учета газа.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единица измерения - показатель норматива потребления товарного и сжиженного нефтяного газа;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конструктивные и технические параметры многоквартирного дома или индивидуального жилого дома - показатели, влияющие на объем (количество) потребления коммунальных ресурсов (материал стен, кровли, этажность);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благоустройства - наличие внутридомовых инженерных коммуникаций и оборудования многоквартирного дома или индивидуального жилого дома, используемых для предоставления потребителям коммунальных услуг;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климатические условия - среднесуточная температура наружного воздуха за отопительный период, расчетная температура наружного воздуха в целях проектирования отопления, скорость ветра в отопительный период и другие климатические параметры, влияющие на объем потребления товарного и сжиженного нефтяного газа;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сферах естественных монополий и на регулируемых рынках;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заявка – официальное обращение (заявление) услугодателя в уполномоченный орган об утверждении норм потребления товарного и сжиженного нефтяного газа;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индивидуальный предприниматель или юридическое лицо, оказывающие услуги по предоставлению товарного и сжиженного нефтяного газа потребителям;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объект-представитель – квартира в многоквартирном доме, индивидуальный жилой дом или многоквартирный дом, в которых производится наблюдение за фактическим объемом потребления газа.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норм потребления товарного и сжиженного</w:t>
      </w:r>
      <w:r>
        <w:br/>
      </w:r>
      <w:r>
        <w:rPr>
          <w:rFonts w:ascii="Times New Roman"/>
          <w:b/>
          <w:i w:val="false"/>
          <w:color w:val="000000"/>
        </w:rPr>
        <w:t>нефтяного газа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норм потребления учитываются следующие конструктивные и технические параметры многоквартирного дома или индивидуального жилого дома: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расходе газа на нужды отопления - материал стен, крыши, объем жилых помещений, площадь ограждающих конструкций и окон, износ внутридомовых инженерных коммуникаций и оборудования;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расходе газа на подогрев воды - износ внутридомовых инженерных коммуникаций и оборудования.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потребления сжиженного нефтяного газа (далее – СНГ) на приготовление пищи и подогрев воды устанавливаются в килограммах на одного человека в месяц.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СНГ на отопление жилых помещений устанавливаются в килограммах на один квадратный метр отапливаемой площади или на один кубический метр отапливаемого объема в месяц.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потребления устанавливаются едиными для многоквартирных домов и индивидуальных жилых домов, имеющих аналогичные конструктивные и технические параметры, а также степень благоустройства.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потребления рассчитываются по следующим направлениям его использования: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приготовление пищи;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подогрев воды для хозяйственных и санитарно-гигиенических нужд (включая стирку белья) в условиях отсутствия централизованного горячего водоснабжения;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газового водонагревателя;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газового водонагревателя;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индивидуальное (поквартирное) отопление жилых помещений (индивидуальных жилых домов, квартир, комнат).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Отапливаемая площадь здания определяется как площадь этажей (в том числе и мансардного, отапливаемых цокольного и подвального) здания, измеряемая в пределах внутренних поверхностей наружных стен. В отапливаемую площадь здания не включаются площади теплых чердаков и подвалов, подвала (подполья), холодных неотапливаемых веранд, балконов, лоджий, террас, а также холодного чердака или его части, не занятой под мансарду.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Отапливаемый объем здания определяется как произведение отапливаемой площади этажа на внутреннюю высоту, измеряемую от поверхности пола первого этажа до поверхности потолка последнего этажа без учета толщины перекрытий.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норм потребления товарного и сжиженного нефтяного газа на бытовые нужды населения применяются следующие методы: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аналогов;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расчетный метод.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 аналогов применяется при наличии данных, полученных в результате измерений объема потребления товарного и сжиженного нефтяного газа коллективными (общедомовыми) приборами учета, установленными в объектах-представителях с аналогичными конструктивными и техническими параметрами, степенью благоустройства и климатическими условиями.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Расчетный метод применяется, если результаты измерений коллективными (общедомовыми) приборами учета в жилых домах с аналогичными конструктивными и техническими параметрами, степенью благоустройства и климатическими условиями, а также объекты-представители отсутствуют.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применении одного из методов принимается услугодателем.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СНГ рассчитываются, исходя из равномерного распределения потребляемого газа по месяцам года или дифференцируются в зависимости от сезонной неравномерности его потребления.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использовании в жилых помещениях газа по нескольким направлениям объемы потребления товарного газа, определенные по соответствующим нормам, складываются.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удобства расчеты норм потребления производятся исходя из равномерного распределения потребляемого газа по месяцам года.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товарного газа на приготовление пищи и подогрев воды устанавливаются в кубических метрах на одного человека в месяц.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товарного газа на отопление жилых помещений устанавливаются в кубических метрах на один квадратный метр отапливаемой площади или на один кубический метр отапливаемого объема.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Нормы потребления рассчитываются и утверждаются для каждого услугодателя с учетом природно-климатических особенностей областей, городов Астаны и Алматы, в которых находятся объекты газоснабжения.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норм потребления товарного и сжиженного</w:t>
      </w:r>
      <w:r>
        <w:br/>
      </w:r>
      <w:r>
        <w:rPr>
          <w:rFonts w:ascii="Times New Roman"/>
          <w:b/>
          <w:i w:val="false"/>
          <w:color w:val="000000"/>
        </w:rPr>
        <w:t>нефтяного газа методом аналогов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норм потребления товарного и сжиженного нефтяного газа методом аналогов производится на основе выборочного наблюдения за фактическим объемом потребления газа.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потребляемого газа определяется индивидуальными приборами учета, установленными в квартирах многоквартирных домов или индивидуальных жилых домах, или коллективными (общедомовыми) приборами учета, установленными в многоквартирных домах.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выборочного наблюдения отбираются объекты-представители.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отбираемых объектов-представителей (объем выборки) определяется по каждому направлению использования газа.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объектов-представителей соблюдаются следующие условия: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объекты-представители должны находиться в зоне стабильного газо-, тепло- и водоснабжения;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объекты-представители отбираются в населенных пунктах с наиболее характерной инфраструктурой (обеспеченность банями, прачечными, предприятиями общественного питания, детскими садами, лечебными и другими предприятиями, влияющими на объем внутриквартирного потребления газа);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выборки должен быть не менее минимально необходимой величины;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объектом-представителем не является многоквартирный или индивидуальный жилой дом, в котором имеются нежилые помещения, подключенные к присоединенной сети и не оборудованные приборами учета;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населенные пункты, в которых отбираются объекты-представители, должны находиться в типичных для региона климатических условиях.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определении минимально необходимого объема выборки сначала производится пробная выборка произвольного объема. Первый подход основан на принятии для анализа нужного объема выборки. В случае, если объем этой выборки окажется недостаточным для получения необходимой точности данных, необходимо дополнить эту выборку до нужного объема.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втором подходе пробная выборка берется равной 1 % от объема генеральной совокупности. На основе этой пробной выборки определяется необходимый объем окончательной выборки. Далее осуществляют выборку заданного объема и проводят по ней выборочное исследование.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пробной выборки осуществляется в следующей последовательности.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средняя арифметическая предварительной выборки по формуле: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557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n' - количество предварительно отобранных объектов-представителей, квартир (или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Xi- среднемесячный расход газа на одного человека по i-му объекту-представителю за наблюдаемый период,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арифметическая величины предварительной выборки,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Вычисляется дисперсия выборочной совокупности по формуле: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891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дисперсия выборочной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Вычисляется дисперсия выборочной совокупности по данным выборочного отбора по формуле: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526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дисперсия выборочной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средняя ошибка выборочного наблюдения (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для малой выборки (n&lt;30)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891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предельная ошибка по пробной выборке (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45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81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t - коэффициент доверия (критерий Стьюдента) - параметр, указывающий на конкретное значение вероятности того, на какую величину генеральная средняя будет отличаться от выборочной средней, определяемый по таблице,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числа степеней свободы f=n'-1 и доверительной вероятности (уровня надежности результатов).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используется относительно большая пробная выборка, то, задав предельную ошибку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следует сравнить ее с предельной ошибкой, вычисленной по пробной выборке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одном и том же значении уровня надежности результатов). Если окажется, что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то объем пробной выборки достаточен и окончателен.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то необходимый минимальный объем выборки для определения средней величины определяется по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повторным отбором: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бесповторным отбором: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минимально необходимый объем выборочной совокупности, квартир (или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объем генеральной совокупности (количество газифицированных квартир по рассматриваемой группе (квартир или домов);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допустимая предельная ошибка выборки (принимается равной не более, чем величина предельной ошибки предварительной выборки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доли ед.).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Формулы (6), (7) дают минимально необходимый объем выборки.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потребления товарного газа, расход газа исчисляется в кубометрах, приведенных к стандартным условиям в соответствии с ГОСТ 2939-63 "Газы. Условия для определения объема". Если установленные приборы учета не имеют специальных корректоров по температуре или по температуре и по давлению, то приведение прошедшего через прибор учета объема газа к стандартным условиям проводится расчетным путем по формуле: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289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- объемный расход газа, приведенный к стандартным условиям,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сч</w:t>
      </w:r>
      <w:r>
        <w:rPr>
          <w:rFonts w:ascii="Times New Roman"/>
          <w:b w:val="false"/>
          <w:i w:val="false"/>
          <w:color w:val="000000"/>
          <w:sz w:val="28"/>
        </w:rPr>
        <w:t>- расход газа, прошедший через прибор учета по счетному механизму,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сч</w:t>
      </w:r>
      <w:r>
        <w:rPr>
          <w:rFonts w:ascii="Times New Roman"/>
          <w:b w:val="false"/>
          <w:i w:val="false"/>
          <w:color w:val="000000"/>
          <w:sz w:val="28"/>
        </w:rPr>
        <w:t>- действительное (избыточное) давление газа внутри прибора учета или в газопроводе в непосредственной близости от него, мм рт. ст.;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барометрическое давление атмосферы (принимается 750,1 мм рт.ст.);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сч</w:t>
      </w:r>
      <w:r>
        <w:rPr>
          <w:rFonts w:ascii="Times New Roman"/>
          <w:b w:val="false"/>
          <w:i w:val="false"/>
          <w:color w:val="000000"/>
          <w:sz w:val="28"/>
        </w:rPr>
        <w:t xml:space="preserve">- действительная температура паровой фазы газа внутри прибора учета или в газопроводе в непосредственной близости от него,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входящих в формулу (8) параметров принимаются по показаниям соответствующих приборов или по данным метеорологических служб.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потребления СНГ, количество израсходованного потребителями газа (V</w:t>
      </w:r>
      <w:r>
        <w:rPr>
          <w:rFonts w:ascii="Times New Roman"/>
          <w:b w:val="false"/>
          <w:i w:val="false"/>
          <w:color w:val="000000"/>
          <w:vertAlign w:val="subscript"/>
        </w:rPr>
        <w:t>сч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определенное по объемному газовому счетчику, приводят к стандартным условиям (V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) и пересчитывают в (кг) по формуле: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71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массовый расход СНГ, кг;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74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плотность газа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определяют как сумму произведений стандартных плотностей компонентов на их объемное долевое содержание в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плотность i-го компонента газа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объемное содержание i-го компонента газа, % 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составы компонентов газа в % массовых, то их переводят в % мольные, а затем в % объемные по формулам (10), (11):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44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% мол 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781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% об,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03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массовое, мольное и объемное содержание i-го компонента СНГ, соответственно, - % мас., % мол., % об.;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молекулярная масса i-го компонента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коэффициент сжимаемости i-го компонента газа при стандартных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углеводородов, входящих в состав газа, значения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054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приведены в ГОСТ 30319.1-96 "Газ природный. Методы расчета физических свойств. Определение физических свойств товарного газа, его компонентов и продуктов его переработки" (далее – ГОСТ 30319.1-96).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целью учета сезонной неравномерности газопотребления наблюдения за расходом газа по каждому объекту-представителю проводятся в течение одного календарного года.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процессе проведения расчетов необходимо отбрасывать резко выделяющиеся значения расхода газа, возникающие вследствие ошибок в отсчетах показаний приборов учета, ошибок при регистрации значений.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наблюдений составляется сводная ведомость фактических расходов газа за наблюдаемый период.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случаев, когда прибор учета установлен на все газовые приборы и аппараты, имеющиеся в квартире, расход газа на отопление определяется как разница между объемом потребления газа по обследованному объекту-представителю при наличии местных отопительных систем с аналогичными объектами при их отсутствии.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Среднемесячное потребление СНГ по каждому из направлений его использования определяется по формуле: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4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(12а)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Среднемесячное потребление товарного газа по каждому из направлений его использования определяется по формуле: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033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(12б)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– среднемесячное потребление СНГ на одного человека или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отапливаемой площади, кг/чел.•мес., или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.•мес.;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среднемесячное потребление товарного газа на одного человека или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отапливаемой площади,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/чел.•мес., или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.•мес.;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фактический расход СНГ по объектам-представителям (от 1 до n) за наблюдаемый промежуток времени,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фактический расход товарного газа по объектам-представителям (от 1 до n) за наблюдаемый промежуток времени,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промежуток времени между снятием показаний с прибора учета,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соответствующее число жителей, потребляющих газ чел., или размер отапливаемой площади,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количество дней в месяце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учета сезонной неравномерности, снятие показаний с приборов учета необходимо проводить в холодный, переходный и теплый периоды года, а среднюю продолжительность месяца для каждого из периодов года следует определять в соответствии с принятой их продолжительностью для данного региона.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Норма потребления СНГ по каждому направлению его использования определяется по формуле: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(13а)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товарного газа по каждому направлению его использования определяется по формуле: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(13б)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норма потребления СНГ, кг/чел.•мес. или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.•мес.;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потребления товарного газа,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/чел.•мес., или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.•мес.;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учета повышенного потребления газа в условиях отсутствия приборов учета, равный 1,1.</w:t>
      </w:r>
    </w:p>
    <w:bookmarkStart w:name="z13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норм потребления сжиженного нефтяного газа</w:t>
      </w:r>
      <w:r>
        <w:br/>
      </w:r>
      <w:r>
        <w:rPr>
          <w:rFonts w:ascii="Times New Roman"/>
          <w:b/>
          <w:i w:val="false"/>
          <w:color w:val="000000"/>
        </w:rPr>
        <w:t>расчетным методом</w:t>
      </w:r>
    </w:p>
    <w:bookmarkEnd w:id="87"/>
    <w:bookmarkStart w:name="z1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Нормы потребления СНГ на приготовление пищи при наличии в жилых помещениях газовых плит и централизованного горячего водоснабжения рассчитываются на основании годовых норм расхода теплоты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254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среднемесячной нормы потребления СНГ на приготовление пищи для одного человека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кг/чел•мес, производится по формуле: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норма расхода теплоты на приготовление пищи для одного человека, приведенная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МДж/чел•мес.;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массовая теплота сгорания СНГ, МДж/кг;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количество месяцев в году.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Низшая массовая теплота сгорания СНГ (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42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МДж/кг)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24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объемная теплота сгорания i-го компонента СНГ, приведенная к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газообразного компонента СНГ при стандартных условиях,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(данные ГОСТ 22667-82 (СТ СЭВ 3359-81) "Газы горючие природные. Расчетный метод определения теплоты сгорания, относительной плотности и числа Воббе" (далее - ГОСТ 22667-82);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массовое содержание i-го компонента СНГ, % мас.;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плотность i-го компонента СНГ при стандартных условиях,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низшая массовая теплота сгорания i-го компонента СНГ, МДж/кг.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низшей теплоты сгорания СНГ необходимо использовать данные для условной смеси пропан - н-бутан. При этом легкие компоненты (метан, этан) приплюсовывают к пропану, а тяжелые (пентаны) - к бутану.</w:t>
      </w:r>
    </w:p>
    <w:bookmarkEnd w:id="92"/>
    <w:bookmarkStart w:name="z1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приведены плотности, коэффициенты сжимаемости, низшие объемные теплоты сгорания для пропана и н-бутана при стандартных условиях и их молекулярные массы (из ГОСТ 30319.1-96), а также расчетные величины низших теплот сгорания СНГ при разном содержании в них пропана и бутана.</w:t>
      </w:r>
    </w:p>
    <w:bookmarkEnd w:id="93"/>
    <w:bookmarkStart w:name="z1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о составе СНГ для расчета низшей теплоты сгорания принимается, что:</w:t>
      </w:r>
    </w:p>
    <w:bookmarkEnd w:id="94"/>
    <w:bookmarkStart w:name="z1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холодный (отопительный) период года используется СНГ марки ПТ по ГОСТ Р 52087-2003 "Газы углеводородные сжиженные топливные. Технические условия" (далее - ГОСТ Р 52087-2003) и ГОСТ 20448-90 "Газы углеводородные сжиженные топливные для коммунально-бытового потребления. Технические условия" (далее - ГОСТ 20448-90) с условным средним составом: пропан - 80% мас., н-бутан - 20% мас. и низшей теплотой сгорания 46,3 МДж/кг (90,9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теплый период года используется СНГ марок ПБТ, СПБТ (по ГОСТ Р 52087-2003 и ГОСТ 20448-90) со средним составом: пропан - 60% мас., н-бутан - 40% мас. и низшей теплотой сгорания 46,2 МДж/кг (95,75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6"/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Расчет норм потребления СНГ на приготовление пищи и подогрев воды в условиях отсутствия централизованного горячего водоснабжения:</w:t>
      </w:r>
    </w:p>
    <w:bookmarkEnd w:id="97"/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приготовление пищи и подогрев воды в условиях отсутствия централизованного горячего водоснабжения производится с использованием газового водонагревателя, а при его отсутствии - с использованием газовой плиты;</w:t>
      </w:r>
    </w:p>
    <w:bookmarkEnd w:id="98"/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потребления СНГ на приготовление пищи и подогрев воды рассчитываются на основании годовой нормы расхода теплоты из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среднемесячных норм потребления СНГ на приготовление пищи и подогрев воды для одного человека с использованием газового водонагревателя (Н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кг/чел.мес.) производится по формуле: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годовая норма расхода теплоты на приготовление пищи, МДж/чел.год(принимается из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низшая массовая теплота сгорания паровой фазы СНГ, МДж/кг (рассчитывается по формуле (15) или принимается из таблицы 3.2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число месяцев в году;</w:t>
      </w:r>
    </w:p>
    <w:bookmarkEnd w:id="101"/>
    <w:bookmarkStart w:name="z1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среднемесячных норм потребления СНГ на приготовление пищи и подогрев воды при отсутствии газового водонагревателя 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кг/чел•мес, производится по формуле: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684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годовая норма расхода теплоты на приготовление пищи и подогрев воды для одного жителя при отсутствии газового водонагревателя, МДж/чел.год(принимается из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низшая массовая теплота сгорания паровой фазы СНГ, МДж/кг (рассчитывается по формуле (15) или принимается из таблицы 3.2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число месяцев в году.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Расчет норм потребления СНГ на индивидуальное (поквартирное) отопление жилых помещений.</w:t>
      </w:r>
    </w:p>
    <w:bookmarkEnd w:id="104"/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СНГ на отопление жилых помещений, имеющих индивидуальное (поквартирное) отопление и не оснащенных приборами учета, рассчитываются в соответствии с расчетными годовыми расходами тепловой энергии. При этом исходными данными для расчетов являются:</w:t>
      </w:r>
    </w:p>
    <w:bookmarkEnd w:id="105"/>
    <w:bookmarkStart w:name="z1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параметры региона;</w:t>
      </w:r>
    </w:p>
    <w:bookmarkEnd w:id="106"/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микроклимата в жилых помещениях;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усредненные объемно-планировочные показатели жилых зданий;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жилищного фонда в регионе по материалу стен и физическому износу;</w:t>
      </w:r>
    </w:p>
    <w:bookmarkEnd w:id="109"/>
    <w:bookmarkStart w:name="z1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средневзвешенные коэффициенты полезного действия (КПД) отопительных аппаратов и печей.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по региону месячная норма потребления СНГ на отопление жилых зданий (домов) 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 кг/(м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•мес) или кг/(м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•мес), в зависимости от наличия информации по жилищному фонду определяется по одному из следующих вариантов: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укрупнено - на основе общих статистических данных по жилищному фонду региона;</w:t>
      </w:r>
    </w:p>
    <w:bookmarkEnd w:id="112"/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дифференцировано - для характерных групп жилых зданий (домов) с последующим усреднением в соответствии с долей группы зданий.</w:t>
      </w:r>
    </w:p>
    <w:bookmarkEnd w:id="113"/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общих статистических данных по жилищному фонду величина 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 кг/(м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•мес) или кг/(м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•мес), рассчитывается на основе средней площади одной квартиры по региону.</w:t>
      </w:r>
    </w:p>
    <w:bookmarkEnd w:id="114"/>
    <w:bookmarkStart w:name="z18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дифференцированном расчете нормы для характерных групп жилых зданий (домов) средняя по региону месячная норма потребления СНГ на отопление 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 кг/(м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•мес) или кг/(м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•мес) рассчитывается как средневзвешенная величина по долям характерных групп зданий (домов) по формуле: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>мес</w:t>
      </w:r>
      <w:r>
        <w:rPr>
          <w:rFonts w:ascii="Times New Roman"/>
          <w:b w:val="false"/>
          <w:i w:val="false"/>
          <w:color w:val="000000"/>
          <w:sz w:val="28"/>
        </w:rPr>
        <w:t>)i - среднемесячная норма потребления СНГ на отопление для характерной i-ой группы зданий, кг/(м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•мес) или кг/(м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•мес);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i-ой группы зданий в общей по региону площади квартир с индивидуальным (поквартирным) отоплением при отсутствии приборов учета газа;</w:t>
      </w:r>
    </w:p>
    <w:bookmarkStart w:name="z1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число рассматриваемых групп зданий.</w:t>
      </w:r>
    </w:p>
    <w:bookmarkEnd w:id="116"/>
    <w:bookmarkStart w:name="z1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норм потребления СНГ на отопление в качестве характерных групп выделяют здания (дома), которые различаются по:</w:t>
      </w:r>
    </w:p>
    <w:bookmarkEnd w:id="117"/>
    <w:bookmarkStart w:name="z1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объемно-планировочным показателям (величине отапливаемой площади А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внутренней высоте этажа здания h</w:t>
      </w:r>
      <w:r>
        <w:rPr>
          <w:rFonts w:ascii="Times New Roman"/>
          <w:b w:val="false"/>
          <w:i w:val="false"/>
          <w:color w:val="000000"/>
          <w:vertAlign w:val="subscript"/>
        </w:rPr>
        <w:t>om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числу этажей);</w:t>
      </w:r>
    </w:p>
    <w:bookmarkEnd w:id="118"/>
    <w:bookmarkStart w:name="z1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материалу стен зданий (домов);</w:t>
      </w:r>
    </w:p>
    <w:bookmarkEnd w:id="119"/>
    <w:bookmarkStart w:name="z1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износу зданий (домов).</w:t>
      </w:r>
    </w:p>
    <w:bookmarkEnd w:id="120"/>
    <w:bookmarkStart w:name="z1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Усредненные объемно-планировочные показатели, необходимые для выполнения расчетов для наиболее распространенных в регионах характерных групп жилых зданий (домов),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1"/>
    <w:bookmarkStart w:name="z1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региональных норм потребления СНГ на отопление с помощью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формы выделяются несколько (i) характерных групп зданий (домов), имеющих наибольшую долю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жилищном фонде региона. Дальнейшие расчеты выполняются по усредненным объемно-планировочным показателям для одного здания из каждой i-ой характерной группы с последующим усреднением норм потребления СНГ (Нотмес)i по формуле (18);</w:t>
      </w:r>
    </w:p>
    <w:bookmarkEnd w:id="122"/>
    <w:bookmarkStart w:name="z1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среднемесячной нормы потребления СНГ на отопление жилых зданий (домов) для выделенной характерной группы производится по формуле:</w:t>
      </w:r>
    </w:p>
    <w:bookmarkEnd w:id="123"/>
    <w:bookmarkStart w:name="z1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расчете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отапливаемой площади Н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>мес</w:t>
      </w:r>
      <w:r>
        <w:rPr>
          <w:rFonts w:ascii="Times New Roman"/>
          <w:b w:val="false"/>
          <w:i w:val="false"/>
          <w:color w:val="000000"/>
          <w:sz w:val="28"/>
        </w:rPr>
        <w:t>, кг/(м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мес.):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30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расчете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отапливаемого объема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46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- расчетный среднегодовой расход СНГ на отопление здания, кг/год;</w:t>
      </w:r>
    </w:p>
    <w:bookmarkStart w:name="z2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- отапливаемая площадь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5"/>
    <w:bookmarkStart w:name="z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- отапливаемый объем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расчетная среднегодовая норма потребления СНГ на отопление здания (G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vertAlign w:val="super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 определяется по расходу тепловой энергии за отопительный период года по формуле: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(21)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расход тепловой энергии на отопление здания в течение отопительного периода, характеризующегося средней суточной температурой наружного воздуха, равной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ниже, МДж;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низшая массовая теплота сгорания СНГ (рассчитывается по формуле (15) или принимается из </w:t>
      </w:r>
      <w:r>
        <w:rPr>
          <w:rFonts w:ascii="Times New Roman"/>
          <w:b w:val="false"/>
          <w:i w:val="false"/>
          <w:color w:val="000000"/>
          <w:sz w:val="28"/>
        </w:rPr>
        <w:t>таблицы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КПД отопительной системы (для отопительных печей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=0,65...0,8, для газовых котлов различных типов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=0,75...0,9);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 тепловой энергии на отопление здания в отопительный период (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355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МДж), учитывающий общие теплопотери здания через наружные ограждающие конструкции, бытовые тепловыделения и теплопоступления через окна от солнечной радиации,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,(22)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расчетная средняя температура внутреннего воздуха здания,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принимаемая по минимальным значениям оптимальной температуры жилых зданий в интервале 20-22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хол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температура наружного воздуха наиболее холодной пятидневки,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обеспеченностью 0,92;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>- условный коэффициент теплопередачи здания, учитывающий теплопотери за счет инфильтрации и вентиляции в эксплуатируемых жилых зданиях, Вт/(м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температура наружного воздуха в отопительный период,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продолжительность отопительного периода, сут.;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за отопительный период величина солнечной радиации на вертикальные поверхности при действительных условиях облачности, МДж/м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общая площадь внутренних поверхностей ограждающих строительных конструкций, отделяющих отапливаемые помещения от неотапливаемых, от наружного воздуха и грунта,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- отапливаемая площадь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>- суммарная площадь световых проемов,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величин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конкретных регионов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317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 A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в соответствии с выбранной характерной группой зданий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</w:t>
      </w:r>
      <w:r>
        <w:rPr>
          <w:rFonts w:ascii="Times New Roman"/>
          <w:b w:val="false"/>
          <w:i w:val="false"/>
          <w:color w:val="000000"/>
          <w:vertAlign w:val="superscript"/>
        </w:rPr>
        <w:t>д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алгоритму, изложенному в 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2"/>
    <w:bookmarkStart w:name="z2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исходных данных и результаты расчета норм потребления СНГ на отопление жилых зданий (домов) приведены в форме в 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22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норм потребления товарного газа расчетным</w:t>
      </w:r>
      <w:r>
        <w:br/>
      </w:r>
      <w:r>
        <w:rPr>
          <w:rFonts w:ascii="Times New Roman"/>
          <w:b/>
          <w:i w:val="false"/>
          <w:color w:val="000000"/>
        </w:rPr>
        <w:t>методом</w:t>
      </w:r>
    </w:p>
    <w:bookmarkEnd w:id="134"/>
    <w:bookmarkStart w:name="z2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Расчет норм потребления товарного газа на приготовление пищи:</w:t>
      </w:r>
    </w:p>
    <w:bookmarkEnd w:id="135"/>
    <w:bookmarkStart w:name="z2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потребления газа на приготовление пищи при установке в жилых помещениях газовых плит рассчитываются на основании годовых норм расхода теплоты,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36"/>
    <w:bookmarkStart w:name="z2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среднемесячной нормы потребления товарного газа на приготовление пищи Н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/чел., производится по формуле: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норма расхода теплоты на приготовление пищи, МДж/чел. (ккал/чел.);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фактическая теплота сгорания товарного газа по региону, МДж/м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(ккал/м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 определяется как средняя величина за предшествующие 3-5 лет;</w:t>
      </w:r>
    </w:p>
    <w:bookmarkStart w:name="z2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количество месяцев в году, мес.</w:t>
      </w:r>
    </w:p>
    <w:bookmarkEnd w:id="139"/>
    <w:bookmarkStart w:name="z2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Расчет норм потребления товарного газа на подогрев воды в условиях отсутствия централизованного горячего водоснабжения:</w:t>
      </w:r>
    </w:p>
    <w:bookmarkEnd w:id="140"/>
    <w:bookmarkStart w:name="z2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подогрев воды в условиях отсутствия централизованного горячего водоснабжения производится с использованием газового водонагревателя, а при его отсутствии - с использованием газовой плиты;</w:t>
      </w:r>
    </w:p>
    <w:bookmarkEnd w:id="141"/>
    <w:bookmarkStart w:name="z2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потребления газа на подогрев воды рассчитываются на основании годовых норм расхода теплоты,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2"/>
    <w:bookmarkStart w:name="z2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среднемесячной нормы потребления товарного газа на подогрев воды с использованием газового водонагревателя Н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/чел, производится по формуле: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41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(25а)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норма расхода теплоты на подогрев воды при наличии газового водонагревателя, МДж/чел. (ккал/чел.);</w:t>
      </w:r>
    </w:p>
    <w:bookmarkStart w:name="z2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среднемесячной нормы потребления товарного газа на подогрев воды в условиях отсутствия газового водонагревателя Н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/чел, производится по формуле: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(25б)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Q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годовая норма расхода теплоты на подогрев воды при отсутствии газового водонагревателя, МДж/чел. (ккал/чел.).</w:t>
      </w:r>
    </w:p>
    <w:bookmarkEnd w:id="145"/>
    <w:bookmarkStart w:name="z2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Расчет норм потребления товарного газа на индивидуальное (поквартирное) отопление жилых помещений:</w:t>
      </w:r>
    </w:p>
    <w:bookmarkEnd w:id="146"/>
    <w:bookmarkStart w:name="z2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товарного газа на отопление жилых помещений, имеющих индивидуальное (поквартирное) отопление и не оснащенных приборами учета газа, рассчитываются в соответствии с расчетными годовыми расходами тепловой энергии. При этом исходными данными для расчетов являются:</w:t>
      </w:r>
    </w:p>
    <w:bookmarkEnd w:id="147"/>
    <w:bookmarkStart w:name="z2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параметры региона;</w:t>
      </w:r>
    </w:p>
    <w:bookmarkEnd w:id="148"/>
    <w:bookmarkStart w:name="z2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микроклимата в жилых помещениях;</w:t>
      </w:r>
    </w:p>
    <w:bookmarkEnd w:id="149"/>
    <w:bookmarkStart w:name="z2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усредненные объемно-планировочные показатели жилых зданий;</w:t>
      </w:r>
    </w:p>
    <w:bookmarkEnd w:id="150"/>
    <w:bookmarkStart w:name="z2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жилищного фонда в регионе по материалу стен и физическому износу;</w:t>
      </w:r>
    </w:p>
    <w:bookmarkEnd w:id="151"/>
    <w:bookmarkStart w:name="z2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средневзвешенные КПД отопительных аппаратов и печей;</w:t>
      </w:r>
    </w:p>
    <w:bookmarkEnd w:id="152"/>
    <w:bookmarkStart w:name="z2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 по региону месячная норма потребления товарного газа на отопление жилых зданий (домов) Н</w:t>
      </w:r>
      <w:r>
        <w:rPr>
          <w:rFonts w:ascii="Times New Roman"/>
          <w:b w:val="false"/>
          <w:i w:val="false"/>
          <w:color w:val="000000"/>
          <w:vertAlign w:val="superscript"/>
        </w:rPr>
        <w:t>ср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x мес.) или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x мес.), в зависимости от наличия информации по жилищному фонду рассчитывается по одному из двух вариантов:</w:t>
      </w:r>
    </w:p>
    <w:bookmarkEnd w:id="153"/>
    <w:bookmarkStart w:name="z2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укрупненно на основе общих статистических данных по жилищному фонду региона;</w:t>
      </w:r>
    </w:p>
    <w:bookmarkEnd w:id="154"/>
    <w:bookmarkStart w:name="z2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дифференцировано для характерных групп жилых зданий (домов) с последующим усреднением в соответствии с долей группы зданий;</w:t>
      </w:r>
    </w:p>
    <w:bookmarkEnd w:id="155"/>
    <w:bookmarkStart w:name="z2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общих статистических данных по жилищному фонду величина Н</w:t>
      </w:r>
      <w:r>
        <w:rPr>
          <w:rFonts w:ascii="Times New Roman"/>
          <w:b w:val="false"/>
          <w:i w:val="false"/>
          <w:color w:val="000000"/>
          <w:vertAlign w:val="superscript"/>
        </w:rPr>
        <w:t>ср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x мес.) или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x мес.), рассчитывается на основе средней площади одной квартиры по региону;</w:t>
      </w:r>
    </w:p>
    <w:bookmarkEnd w:id="156"/>
    <w:bookmarkStart w:name="z2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дифференцированном расчете норм для характерных групп жилых зданий (домов) среднюю по региону месячную норму потребления товарного газа на отопление Н</w:t>
      </w:r>
      <w:r>
        <w:rPr>
          <w:rFonts w:ascii="Times New Roman"/>
          <w:b w:val="false"/>
          <w:i w:val="false"/>
          <w:color w:val="000000"/>
          <w:vertAlign w:val="superscript"/>
        </w:rPr>
        <w:t>ср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x мес.) или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x мес.), рассчитывают как средневзвешенную величину по долям характерных групп зданий (домов)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14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среднемесячная норма газопотребления на отопление для характерной i-ой группы зданий,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x мес.) или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x мес.);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i-ой группы зданий в общей по региону площади квартир с индивидуальным (поквартирным) отоплением при отсутствии приборов учета газа;</w:t>
      </w:r>
    </w:p>
    <w:bookmarkEnd w:id="158"/>
    <w:bookmarkStart w:name="z2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число рассматриваемых групп зданий.</w:t>
      </w:r>
    </w:p>
    <w:bookmarkEnd w:id="159"/>
    <w:bookmarkStart w:name="z2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расчетах норм потребления газа на отопление в качестве характерных групп выделяют здания (дома), которые различаются по:</w:t>
      </w:r>
    </w:p>
    <w:bookmarkEnd w:id="160"/>
    <w:bookmarkStart w:name="z2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объемно-планировочным показателям (величине отапливаемой площади А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внутренней высоте этажа здания h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числу этажей);</w:t>
      </w:r>
    </w:p>
    <w:bookmarkEnd w:id="161"/>
    <w:bookmarkStart w:name="z2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материалу стен зданий (домов);</w:t>
      </w:r>
    </w:p>
    <w:bookmarkEnd w:id="162"/>
    <w:bookmarkStart w:name="z2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износу зданий (домов).</w:t>
      </w:r>
    </w:p>
    <w:bookmarkEnd w:id="163"/>
    <w:bookmarkStart w:name="z2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Усредненные объемно-планировочные показатели, необходимые для выполнения расчетов для наиболее распространенных в областях характерных групп жилых зданий (домов),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4"/>
    <w:bookmarkStart w:name="z2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областных норм потребления газа на отопление с помощью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формы выделяются несколько ( i) характерных групп зданий (домов), имеющих наибольшую долю di в жилищном фонде региона. Дальнейшие расчеты выполняются по усредненным объемно-планировочные показателям для одного здания из каждой i-ой характерной группы с последующим усреднением норм газопотребления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596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формуле (26);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среднемесячной нормы потребления газа на отопление жилых зданий (домов) для выделенной характерной группы производится:</w:t>
      </w:r>
    </w:p>
    <w:bookmarkEnd w:id="166"/>
    <w:bookmarkStart w:name="z2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либо в расчете на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отапливаемой площади Н</w:t>
      </w:r>
      <w:r>
        <w:rPr>
          <w:rFonts w:ascii="Times New Roman"/>
          <w:b w:val="false"/>
          <w:i w:val="false"/>
          <w:color w:val="000000"/>
          <w:vertAlign w:val="superscript"/>
        </w:rPr>
        <w:t>мес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x   мес.)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расчете на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отапливаемого объема Н</w:t>
      </w:r>
      <w:r>
        <w:rPr>
          <w:rFonts w:ascii="Times New Roman"/>
          <w:b w:val="false"/>
          <w:i w:val="false"/>
          <w:color w:val="000000"/>
          <w:vertAlign w:val="superscript"/>
        </w:rPr>
        <w:t>мес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 x мес.)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perscript"/>
        </w:rPr>
        <w:t>год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расчетный среднегодовой расход товарного газа на отопление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/год;</w:t>
      </w:r>
    </w:p>
    <w:bookmarkStart w:name="z2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отапливаемая площадь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0"/>
    <w:bookmarkStart w:name="z2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отапливаемый объем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1"/>
    <w:bookmarkStart w:name="z2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расчетный годовой расход товарного газа на отопление вычисляется по следующей формуле: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19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 тепловой энергии на отопление здания в течение отопительного периода, характеризующегося средней суточной температурой наружного воздуха, равной и ниже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МДж;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КПД отопительной системы; для отопительных печей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 0,65... 0,75, для газовых отопительных аппаратов и котлов различных типов зот = 0,75...0,82.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сроков эксплуатации и технического состояния отопительных устройств величины их КПД могут значительно отличаться от указанных выше;</w:t>
      </w:r>
    </w:p>
    <w:bookmarkEnd w:id="174"/>
    <w:bookmarkStart w:name="z2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 тепловой энергии на отопление здания в течение отопительного периода Q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МДж, учитывает общие теплопотери здания через наружные ограждающие конструкции, бытовые тепловыделения и теплопоступления через окна от солнечной радиации и определяется по формуле: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(29)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расчетная средняя температура внутреннего воздуха здания,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принимаемая по минимальным значениям оптимальной температуры жилых зданий в интервале 20-22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perscript"/>
        </w:rPr>
        <w:t>хол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температура наружного воздуха наиболее холодной пятидневки,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обеспеченностью 0,92;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условный коэффициент теплопередачи здания, учитывающий теплопотери за счет инфильтрации и вентиляции, Вт/(м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x 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градусосутки отопительного периода - показатель, представляющий собой температурно-временную характеристику района строительства здания и используемый для расчетов потребления топлива и отопительной нагрузки здания в течение отопительного периода, 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С x 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отопительного периода, сут;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за отопительный период величина солнечной радиации на вертикальные поверхности при действительных условиях облачности, МДж/м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per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ок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общая площадь внутренних поверхностей ограждающих строительных конструкций, отделяющих отапливаемые помещения от неотапливаемых, от наружного воздуха и от грунта,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площадь световых проемов,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величин t</w:t>
      </w:r>
      <w:r>
        <w:rPr>
          <w:rFonts w:ascii="Times New Roman"/>
          <w:b w:val="false"/>
          <w:i w:val="false"/>
          <w:color w:val="000000"/>
          <w:vertAlign w:val="superscript"/>
        </w:rPr>
        <w:t>хол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D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vertAlign w:val="subscript"/>
        </w:rPr>
        <w:t>сут</w:t>
      </w:r>
      <w:r>
        <w:rPr>
          <w:rFonts w:ascii="Times New Roman"/>
          <w:b w:val="false"/>
          <w:i w:val="false"/>
          <w:color w:val="000000"/>
          <w:sz w:val="28"/>
        </w:rPr>
        <w:t>, Z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конкретных регионов принимаются по действующим нормам на проектирование и строительство.</w:t>
      </w:r>
    </w:p>
    <w:bookmarkEnd w:id="177"/>
    <w:bookmarkStart w:name="z2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А</w:t>
      </w:r>
      <w:r>
        <w:rPr>
          <w:rFonts w:ascii="Times New Roman"/>
          <w:b w:val="false"/>
          <w:i w:val="false"/>
          <w:color w:val="000000"/>
          <w:vertAlign w:val="super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в соответствии с выбранной характерной группой зданий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8"/>
    <w:bookmarkStart w:name="z2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К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алгоритму,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9"/>
    <w:bookmarkStart w:name="z29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утверждения норм потребления товарного и сжиженного</w:t>
      </w:r>
      <w:r>
        <w:br/>
      </w:r>
      <w:r>
        <w:rPr>
          <w:rFonts w:ascii="Times New Roman"/>
          <w:b/>
          <w:i w:val="false"/>
          <w:color w:val="000000"/>
        </w:rPr>
        <w:t>нефтяного газа</w:t>
      </w:r>
    </w:p>
    <w:bookmarkEnd w:id="180"/>
    <w:bookmarkStart w:name="z2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Нормы потребления товарного и сжиженного нефтяного газа (далее – нормы потребления) утверждаются уполномоченным органом.</w:t>
      </w:r>
    </w:p>
    <w:bookmarkEnd w:id="181"/>
    <w:bookmarkStart w:name="z2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Услугодатель представляет в уполномоченный орган заявку на утверждение норм потребления с приложением необходимых обосновывающих материалов, предусмотренных пунктом 38 настоящих Правил.</w:t>
      </w:r>
    </w:p>
    <w:bookmarkEnd w:id="182"/>
    <w:bookmarkStart w:name="z2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заявке прилагаются следующие документы:</w:t>
      </w:r>
    </w:p>
    <w:bookmarkEnd w:id="183"/>
    <w:bookmarkStart w:name="z2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утверждения норм потребления;</w:t>
      </w:r>
    </w:p>
    <w:bookmarkEnd w:id="184"/>
    <w:bookmarkStart w:name="z2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обоснованное решение о применении аналогового или расчетного метода;</w:t>
      </w:r>
    </w:p>
    <w:bookmarkEnd w:id="185"/>
    <w:bookmarkStart w:name="z2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предлагаемый уровень норм потребления;</w:t>
      </w:r>
    </w:p>
    <w:bookmarkEnd w:id="186"/>
    <w:bookmarkStart w:name="z3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соответствующие расчеты норм потребления в зависимости от выбранного метода.</w:t>
      </w:r>
    </w:p>
    <w:bookmarkEnd w:id="187"/>
    <w:bookmarkStart w:name="z3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Дополнительно к документам, указанным в пункте 38 настоящих Правил, представляются следующие документы:</w:t>
      </w:r>
    </w:p>
    <w:bookmarkEnd w:id="188"/>
    <w:bookmarkStart w:name="z3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применения аналогового метода для расчета норм потребления: </w:t>
      </w:r>
    </w:p>
    <w:bookmarkEnd w:id="189"/>
    <w:bookmarkStart w:name="z3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проведенных измерений потребления газа на объектах представителях на официальном бланке услугодателя;</w:t>
      </w:r>
    </w:p>
    <w:bookmarkEnd w:id="190"/>
    <w:bookmarkStart w:name="z3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 о поверке приборов, использованных при измерениях;</w:t>
      </w:r>
    </w:p>
    <w:bookmarkEnd w:id="191"/>
    <w:bookmarkStart w:name="z3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технических паспортов жилых домов, на которых проводятся измерения;</w:t>
      </w:r>
    </w:p>
    <w:bookmarkEnd w:id="192"/>
    <w:bookmarkStart w:name="z3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применения расчетного метода для расчета норм потребления:</w:t>
      </w:r>
    </w:p>
    <w:bookmarkEnd w:id="193"/>
    <w:bookmarkStart w:name="z3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технических паспортов жилых домов, для которых проводится расчет норм потребления;</w:t>
      </w:r>
    </w:p>
    <w:bookmarkEnd w:id="194"/>
    <w:bookmarkStart w:name="z3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технического паспорта отопительной печи или газового котла, применяемого в здании, для которого проводится расчет.</w:t>
      </w:r>
    </w:p>
    <w:bookmarkEnd w:id="195"/>
    <w:bookmarkStart w:name="z3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потребления сжиженного нефтяного газа дополнительно к документам,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необходимо представить справку о компонентом составе сжиженного нефтяного газа.</w:t>
      </w:r>
    </w:p>
    <w:bookmarkEnd w:id="196"/>
    <w:bookmarkStart w:name="z3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Прилагаемые к заявке документы должны быть прошиты, пронумерованы, заверены печатью и подписью первого руководителя услугодателя либо лицом, его замещающим (с приложением копии приказа услугодателя о возложении обязанности первого руководителя).</w:t>
      </w:r>
    </w:p>
    <w:bookmarkEnd w:id="197"/>
    <w:bookmarkStart w:name="z3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Уполномоченный орган в течение пяти рабочих дней со дня получения заявки проверяет на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в письменной форме уведомляет услугодателя о принятии заявки к рассмотрению либо о мотивированном отказе в ее принятии.</w:t>
      </w:r>
    </w:p>
    <w:bookmarkEnd w:id="198"/>
    <w:bookmarkStart w:name="z3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Основаниями для отказа в принятии заявки услугодателя к рассмотрению являются:</w:t>
      </w:r>
    </w:p>
    <w:bookmarkEnd w:id="199"/>
    <w:bookmarkStart w:name="z3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или представление не в полном объеме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00"/>
    <w:bookmarkStart w:name="z3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документов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1"/>
    <w:bookmarkStart w:name="z3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Заявка рассматривается уполномоченным органом в течение тридцати календарных дней. Срок рассмотрения заявки исчисляется с момента поступления заявки в уполномоченный орган.</w:t>
      </w:r>
    </w:p>
    <w:bookmarkEnd w:id="202"/>
    <w:bookmarkStart w:name="z3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после принятия заявки услугодателя к рассмотрению может запросить необходимую информацию в письменной форме.</w:t>
      </w:r>
    </w:p>
    <w:bookmarkEnd w:id="203"/>
    <w:bookmarkStart w:name="z3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Принятое решение уполномоченного органа об утверждении норм потребления в течение десяти рабочих дней публикуется в официальных средствах массовой информации с указанием даты введения в действие указанных норм.</w:t>
      </w:r>
    </w:p>
    <w:bookmarkEnd w:id="204"/>
    <w:bookmarkStart w:name="z3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в течение 5 календарных дней после утверждения норм потребления уведомляет об этом услугодателя в письменной форме.</w:t>
      </w:r>
    </w:p>
    <w:bookmarkEnd w:id="205"/>
    <w:bookmarkStart w:name="z3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норм потребления осуществляется с первого числа месяца, следующего за месяцем утверждения норм потребления.</w:t>
      </w:r>
    </w:p>
    <w:bookmarkEnd w:id="206"/>
    <w:bookmarkStart w:name="z3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отказа в утверждении норм потребления услугодателю направляется мотивированное заключение.</w:t>
      </w:r>
    </w:p>
    <w:bookmarkEnd w:id="207"/>
    <w:bookmarkStart w:name="z3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основанием для отказа в утверждении норм потребления является представление услугодателем материалов, не соответствующих расчетам и требованиям, установленным настоящими Правилами.</w:t>
      </w:r>
    </w:p>
    <w:bookmarkEnd w:id="208"/>
    <w:bookmarkStart w:name="z3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 действия норм потребления составляет не менее трех, но не более пяти лет, и в течение этого периода подлежат пересмотру в случае изменения конструктивных и технических параметров, степени благоустройства многоквартирного дома или индивидуального жилого дома, климатических условий, при которых объем (количество) потребления товарного и сжиженного нефтяного газа потребителем в многоквартирном доме или индивидуальном жилом доме изменяется более чем на пять процентов.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утверждения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Стьюдента для различных значений доверительной</w:t>
      </w:r>
      <w:r>
        <w:br/>
      </w:r>
      <w:r>
        <w:rPr>
          <w:rFonts w:ascii="Times New Roman"/>
          <w:b/>
          <w:i w:val="false"/>
          <w:color w:val="000000"/>
        </w:rPr>
        <w:t>вероятности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1979"/>
        <w:gridCol w:w="1980"/>
        <w:gridCol w:w="1980"/>
        <w:gridCol w:w="1980"/>
        <w:gridCol w:w="1980"/>
      </w:tblGrid>
      <w:tr>
        <w:trPr>
          <w:trHeight w:val="30" w:hRule="atLeast"/>
        </w:trPr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степеней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f=n’-1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Доверительная вероятность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3,707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3,499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3,355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3,055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3,012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2,977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2,947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2,878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2,845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2,819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2,807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2,797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2,787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2,779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2,256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бесконечность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утверждения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нормы</w:t>
      </w:r>
      <w:r>
        <w:br/>
      </w:r>
      <w:r>
        <w:rPr>
          <w:rFonts w:ascii="Times New Roman"/>
          <w:b/>
          <w:i w:val="false"/>
          <w:color w:val="000000"/>
        </w:rPr>
        <w:t>расхода газа на коммунально-бытовые нужды населения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9452"/>
      </w:tblGrid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потребителя газа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теплоты,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МДж/чел. х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ккал/чел. х год)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 горячего водоснабжения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газоснабжении: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(970)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(920)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водонагревателя (при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 горячего водоснабжения)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газоснабжении: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(2 400)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(2 250)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централизованного горячего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газового водонагревателя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газоснабжении: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(1 430)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(1 380)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утверждения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2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Физико-химические свойства пропана, н-бутана и их смесей</w:t>
      </w:r>
    </w:p>
    <w:bookmarkEnd w:id="212"/>
    <w:bookmarkStart w:name="z3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3.1. Свойства пропана и н-бутана при стандартных условиях и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молекулярные массы (из ГОСТ 30319.1-96, ГОСТ 22667-82*)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019"/>
        <w:gridCol w:w="3019"/>
        <w:gridCol w:w="3020"/>
        <w:gridCol w:w="2540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ро_с,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сжимаемости,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z_c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Низшая объемная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теплота сгорания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q_но, Дж/м3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кг/моль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1,8641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0,9682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3.2. Зависимость низшей теплоты сгорания сжиженного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углеводородного газа от состава (содержания пропана и бутана)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949"/>
        <w:gridCol w:w="1573"/>
        <w:gridCol w:w="1949"/>
        <w:gridCol w:w="2855"/>
        <w:gridCol w:w="24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q_но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q_нв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мас.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мас.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Мдж/кг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46,35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46,25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3.3. Зависимость плотности сжиженного углеводородного газа от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 при стандартных условиях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893"/>
        <w:gridCol w:w="65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Компонентный состав СНГ, % мас.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плотность СНГ,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1,9127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1,9632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2,0176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2,0738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2,1344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утверждения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3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Усредненные объемно-планировочные показатели</w:t>
      </w:r>
      <w:r>
        <w:br/>
      </w:r>
      <w:r>
        <w:rPr>
          <w:rFonts w:ascii="Times New Roman"/>
          <w:b/>
          <w:i w:val="false"/>
          <w:color w:val="000000"/>
        </w:rPr>
        <w:t>жилых зданий (домов) для расчета норм потребления товарного</w:t>
      </w:r>
      <w:r>
        <w:br/>
      </w:r>
      <w:r>
        <w:rPr>
          <w:rFonts w:ascii="Times New Roman"/>
          <w:b/>
          <w:i w:val="false"/>
          <w:color w:val="000000"/>
        </w:rPr>
        <w:t>и/или сжиженного нефтяного газа на отопление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741"/>
        <w:gridCol w:w="1702"/>
        <w:gridCol w:w="1702"/>
        <w:gridCol w:w="1702"/>
        <w:gridCol w:w="1970"/>
        <w:gridCol w:w="1703"/>
      </w:tblGrid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Отапливаемый объем Vот,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общая площадь ограждающих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отделяющих отапливаемые помещения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неотапливаемых, от наружного воздуха и от грунта; суммарная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световых проемов 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различной внутренней высоте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жилые одноэтажные одноквартирные и блокированные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45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 до 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66 до 95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96 до 120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121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146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176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одноэтажные многоквартирные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115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171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двухэтажные многоквартирные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481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661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трехэтажные многоквартирные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460 до 730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731 до 1000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1270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утверждения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3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в жилищном фонде региона характерных групп жилых</w:t>
      </w:r>
      <w:r>
        <w:br/>
      </w:r>
      <w:r>
        <w:rPr>
          <w:rFonts w:ascii="Times New Roman"/>
          <w:b/>
          <w:i w:val="false"/>
          <w:color w:val="000000"/>
        </w:rPr>
        <w:t>зданий (домов) с потреблением товарного и/или сжиженного</w:t>
      </w:r>
      <w:r>
        <w:br/>
      </w:r>
      <w:r>
        <w:rPr>
          <w:rFonts w:ascii="Times New Roman"/>
          <w:b/>
          <w:i w:val="false"/>
          <w:color w:val="000000"/>
        </w:rPr>
        <w:t>нефтяного газа для индивидуального (поквартирного) отопления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2721"/>
        <w:gridCol w:w="2722"/>
        <w:gridCol w:w="2722"/>
        <w:gridCol w:w="299"/>
      </w:tblGrid>
      <w:tr>
        <w:trPr>
          <w:trHeight w:val="30" w:hRule="atLeast"/>
        </w:trPr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по отапливаемой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Доля* в жилищном фонде региона, %,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высоте этажа жилых зданий (домов), м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 до 2,5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2,6 до 3,0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3,1 до 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жилые одноэтажные одноквартирные и блокированные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35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45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 до 65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66 до 95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96 до 120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121 до 145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146 до 175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176 до 205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одноэтажные многоквартирные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240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241 до 330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331 до 420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двухэтажные многоквартирные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480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481 до 660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661 до 840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840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жилые трехэтажные многоквартирные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460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460 до 730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731 до 1000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1270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1270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жилые здания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региону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 возможности указать или укрупнено оценить доли (по отапливаемой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характерных групп жилых зданий (домов) в жилищном фонде региона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утверждения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3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Климатические параметры для расчета норм потребления и</w:t>
      </w:r>
      <w:r>
        <w:br/>
      </w:r>
      <w:r>
        <w:rPr>
          <w:rFonts w:ascii="Times New Roman"/>
          <w:b/>
          <w:i w:val="false"/>
          <w:color w:val="000000"/>
        </w:rPr>
        <w:t>товарного и/или сжиженного нефтяного газа на отопление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1683"/>
        <w:gridCol w:w="1988"/>
        <w:gridCol w:w="2279"/>
        <w:gridCol w:w="2330"/>
        <w:gridCol w:w="1851"/>
      </w:tblGrid>
      <w:tr>
        <w:trPr>
          <w:trHeight w:val="30" w:hRule="atLeast"/>
        </w:trPr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Республики Казахстан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м/с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г. Астана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г. Алматы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утверждения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определения условного коэффициента теплопередачи</w:t>
      </w:r>
      <w:r>
        <w:br/>
      </w:r>
      <w:r>
        <w:rPr>
          <w:rFonts w:ascii="Times New Roman"/>
          <w:b/>
          <w:i w:val="false"/>
          <w:color w:val="000000"/>
        </w:rPr>
        <w:t>здания с учетом теплопотерь за счет инфильтрации и вентиляции</w:t>
      </w:r>
    </w:p>
    <w:bookmarkEnd w:id="219"/>
    <w:bookmarkStart w:name="z3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Условный коэффициент теплопередачи здания К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>, Вт/(м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учитывающий теплопотери за счет инфильтрации и вентиляции, определяется по формуле: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24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(7.1)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- удельная теплоемкость воздуха, равная 1,0 кДж/(кг х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средняя кратность воздухообмена здания за отопительный период, ч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определяемая по формуле (7.3);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снижения объема воздуха в здании, учитывающий наличие внутренних ограждающих конструкций (рекомендуется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=0,85);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>- отапливаемый объем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(см.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общая площадь внутренних поверхностей ограждающих строительных конструкций, отделяющих отапливаемые помещения от неотапливаемых, от наружного воздуха и грунта,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(см.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- коэффициент учета влияния встречного теплового потока в светопрозрачных конструкциях для окон с двойными раздельными переплетами k=0,8;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плотность приточного воздуха за отопительный период,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79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(7.2)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- расчетная средняя температура внутреннего воздуха здания,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принимаемая по минимальным значениям оптимальной температуры жилых зданий в интервале 20-22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температура наружного воздуха за отопительный период,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принимается для конкретного региона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Средняя кратность воздухообмена здания за отопительный период n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, ч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рассчитывается с учетом суммарного воздухообмена за счет вентиляции и инфильтрации по формуле: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92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(7.3)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- количество приточного воздуха, поступающего в здание через систему вентиляции,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/ч, определяемое по формуле (7.4);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>- количество воздуха, инфильтрующегося в здание через ограждающие конструкции, кг/ч, определяемое по формулам (7.5-7.8).</w:t>
      </w:r>
    </w:p>
    <w:bookmarkStart w:name="z3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Минимальная производительность системы вентиляции жилого здания (дома) должна обеспечивать не менее однократного обмена объема воздуха в течение одного часа.</w:t>
      </w:r>
    </w:p>
    <w:bookmarkEnd w:id="223"/>
    <w:bookmarkStart w:name="z3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приточного воздуха, поступающего в жилое здание (дом) через систему вентиляции при неорганизованном (естественном) притоке L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/ч, определяется по формуле: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(7.4)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- коэффициент превышения минимального количества приточного воздуха при естественной вентиляции, обусловленный действием следующих факторов: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регулируемых вентиляционных решеток и клапанов;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неплотностей (щелей) в дверях, окнах;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ненормативной воздухоизоляцией ограждающих конструкций зданий.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преобладающего в регионе состояния жилищного фонда в практических расчетах в зависимости от наличия перечисленных факторов коэффициент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следует принимать:</w:t>
      </w:r>
    </w:p>
    <w:bookmarkStart w:name="z3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одном факторе от 1,1 до 2,0;</w:t>
      </w:r>
    </w:p>
    <w:bookmarkEnd w:id="226"/>
    <w:bookmarkStart w:name="z3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сочетании двух факторов от 1,5 до 2,5;</w:t>
      </w:r>
    </w:p>
    <w:bookmarkEnd w:id="227"/>
    <w:bookmarkStart w:name="z3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трех факторах от 2,2 до 3,0.</w:t>
      </w:r>
    </w:p>
    <w:bookmarkEnd w:id="228"/>
    <w:bookmarkStart w:name="z3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Суммарное количество воздуха, поступающего в жилое здание (дом) за счет инфильтрации через ограждающие и светопрозрачные конструкции, а также через входные двери, </w:t>
      </w:r>
      <w:r>
        <w:rPr>
          <w:rFonts w:ascii="Times New Roman"/>
          <w:b w:val="false"/>
          <w:i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инф, кг/ч, определяется по формулам: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44"/>
        <w:gridCol w:w="1456"/>
      </w:tblGrid>
      <w:tr>
        <w:trPr>
          <w:trHeight w:val="30" w:hRule="atLeast"/>
        </w:trPr>
        <w:tc>
          <w:tcPr>
            <w:tcW w:w="108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06700" cy="262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(7.7)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(7.8)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perscript"/>
        </w:rPr>
        <w:t>ок</w:t>
      </w:r>
      <w:r>
        <w:rPr>
          <w:rFonts w:ascii="Times New Roman"/>
          <w:b w:val="false"/>
          <w:i w:val="false"/>
          <w:color w:val="000000"/>
          <w:sz w:val="28"/>
        </w:rPr>
        <w:t>- количество воздуха, инфильтрующегося в здание (дом) через ограждающие конструкции (за исключением заполнений световых проемов и входных дверей), кг/ч;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perscript"/>
        </w:rPr>
        <w:t>спк</w:t>
      </w:r>
      <w:r>
        <w:rPr>
          <w:rFonts w:ascii="Times New Roman"/>
          <w:b w:val="false"/>
          <w:i w:val="false"/>
          <w:color w:val="000000"/>
          <w:sz w:val="28"/>
        </w:rPr>
        <w:t>- то же, через светопрозрачные конструкции, кг/ч;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perscript"/>
        </w:rPr>
        <w:t>дв</w:t>
      </w:r>
      <w:r>
        <w:rPr>
          <w:rFonts w:ascii="Times New Roman"/>
          <w:b w:val="false"/>
          <w:i w:val="false"/>
          <w:color w:val="000000"/>
          <w:sz w:val="28"/>
        </w:rPr>
        <w:t>- то же, через входные двери, кг/ч;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общая площадь внутренних поверхностей ограждающих строительных конструкций, отделяющих отапливаемые помещения от неотапливаемых, от наружного воздуха и от грунта,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>- суммарная площадь световых проемов,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дв</w:t>
      </w:r>
      <w:r>
        <w:rPr>
          <w:rFonts w:ascii="Times New Roman"/>
          <w:b w:val="false"/>
          <w:i w:val="false"/>
          <w:color w:val="000000"/>
          <w:sz w:val="28"/>
        </w:rPr>
        <w:t>- общая площадь входных дверей,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(для одной входной двери в среднем А</w:t>
      </w:r>
      <w:r>
        <w:rPr>
          <w:rFonts w:ascii="Times New Roman"/>
          <w:b w:val="false"/>
          <w:i w:val="false"/>
          <w:color w:val="000000"/>
          <w:vertAlign w:val="subscript"/>
        </w:rPr>
        <w:t>дв</w:t>
      </w:r>
      <w:r>
        <w:rPr>
          <w:rFonts w:ascii="Times New Roman"/>
          <w:b w:val="false"/>
          <w:i w:val="false"/>
          <w:color w:val="000000"/>
          <w:sz w:val="28"/>
        </w:rPr>
        <w:t>=2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разность давлений воздуха на наружной и внутренней поверхностях ограждающих конструкций, Па, определяется в подразделе 7.5;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perscript"/>
        </w:rPr>
        <w:t>ок</w:t>
      </w:r>
      <w:r>
        <w:rPr>
          <w:rFonts w:ascii="Times New Roman"/>
          <w:b w:val="false"/>
          <w:i w:val="false"/>
          <w:color w:val="000000"/>
          <w:sz w:val="28"/>
        </w:rPr>
        <w:t>- нормируемое сопротивление воздухопроницанию ограждающих конструкций здания,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ч Па/кг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perscript"/>
        </w:rPr>
        <w:t>спк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нормируемое сопротивление воздухопроницанию светопрозрачных конструкций,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ч Па/кг (для окон в деревянных переплетах R</w:t>
      </w:r>
      <w:r>
        <w:rPr>
          <w:rFonts w:ascii="Times New Roman"/>
          <w:b w:val="false"/>
          <w:i w:val="false"/>
          <w:color w:val="000000"/>
          <w:vertAlign w:val="superscript"/>
        </w:rPr>
        <w:t>спк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>=0,167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ч Па/кг);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perscript"/>
        </w:rPr>
        <w:t>дв</w:t>
      </w:r>
      <w:r>
        <w:rPr>
          <w:rFonts w:ascii="Times New Roman"/>
          <w:b w:val="false"/>
          <w:i w:val="false"/>
          <w:color w:val="000000"/>
          <w:sz w:val="28"/>
        </w:rPr>
        <w:t>- нормируемое сопротивление воздухопроницанию входных дверей,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ч Па/кг(для входных дверей жилых зданий R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vertAlign w:val="superscript"/>
        </w:rPr>
        <w:t>дв</w:t>
      </w:r>
      <w:r>
        <w:rPr>
          <w:rFonts w:ascii="Times New Roman"/>
          <w:b w:val="false"/>
          <w:i w:val="false"/>
          <w:color w:val="000000"/>
          <w:sz w:val="28"/>
        </w:rPr>
        <w:t>=0,452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ч Па/кг).</w:t>
      </w:r>
    </w:p>
    <w:bookmarkStart w:name="z3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Разность давлений воздуха на наружной и внутренней поверхностях ограждающих конструкций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Па,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97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(7.9)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зд</w:t>
      </w:r>
      <w:r>
        <w:rPr>
          <w:rFonts w:ascii="Times New Roman"/>
          <w:b w:val="false"/>
          <w:i w:val="false"/>
          <w:color w:val="000000"/>
          <w:sz w:val="28"/>
        </w:rPr>
        <w:t>- высота здания (от пола первого этажа до верха вытяжной шахты), 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удельный вес наружного воздуха, H/м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 (7.10)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удельный вес внутреннего воздуха, H/м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38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 (7.11)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средняя скорость ветра за отопительный период, м/с, и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vertAlign w:val="super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- средняя температура наружного воздуха за отопительный период,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принимаются для конкретного региона в соответствии с таблицей 6.1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результате воздействия природно-климатических факторов и жизнедеятельности человека с течением времени происходит утрата первоначальных технико-эксплуатационных качеств жилых зданий (воздухопроницаемости, тепловой защиты, прочности, устойчивости и др.).</w:t>
      </w:r>
    </w:p>
    <w:bookmarkEnd w:id="233"/>
    <w:bookmarkStart w:name="z3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износ жилых зданий (конструкций, элементов или их участков) оценивается по конкретным признакам износа и их количественной оценке.</w:t>
      </w:r>
    </w:p>
    <w:bookmarkEnd w:id="234"/>
    <w:bookmarkStart w:name="z3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физического износа, обуславливающего превышение нормируемой воздухопроницаемости конструкций и элементов жилых зданий, приводит к увеличению условного коэффициента теплопередачи здания К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>, рассчитанного по формуле (7.1).</w:t>
      </w:r>
    </w:p>
    <w:bookmarkEnd w:id="235"/>
    <w:bookmarkStart w:name="z3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Действительное значение условного коэффициента теплопередачи здания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1765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учитывающего теплопотери за счет инфильтрации и вентиляции в эксплуатируемых жилых зданиях, определяемое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81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(7.12)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коэффициент превышения нормируемой воздухопроницаемости в эксплуатируемых жилых 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инф</w:t>
      </w:r>
      <w:r>
        <w:rPr>
          <w:rFonts w:ascii="Times New Roman"/>
          <w:b w:val="false"/>
          <w:i w:val="false"/>
          <w:color w:val="000000"/>
          <w:sz w:val="28"/>
        </w:rPr>
        <w:t xml:space="preserve">- условный коэффициент теплопередачи здания, учитывающий теплопотери за счет инфильтрации и вентиляции,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определяют по формуле (7.1).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7.1. Распределение жилищного фонда в регионах Республики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материалу стен зданий и усредненное сопротивление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воздухопроницанию материалов и конструкций стен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1970"/>
        <w:gridCol w:w="1970"/>
        <w:gridCol w:w="2123"/>
        <w:gridCol w:w="2498"/>
        <w:gridCol w:w="1722"/>
      </w:tblGrid>
      <w:tr>
        <w:trPr>
          <w:trHeight w:val="30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Республики Казахстан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хол, t, н,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оп, t, н,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оп, z, от сут.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оп, I, ср Мдж/м2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м/с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г. Астана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г. Алматы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7.2. Распределение жилищного фонда в регионах Республики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годам возведения, физическому износу зданий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превышения нормируемой воздухопроницаемости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эксплуатируемых жилых зданиях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331"/>
        <w:gridCol w:w="1655"/>
        <w:gridCol w:w="1748"/>
        <w:gridCol w:w="1655"/>
        <w:gridCol w:w="1331"/>
        <w:gridCol w:w="777"/>
        <w:gridCol w:w="916"/>
        <w:gridCol w:w="777"/>
        <w:gridCol w:w="871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квартир (по площади)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годам возведения,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квартир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износом, %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воздухопрони-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цаемости, (г)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г. Астана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г.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утверждения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товарного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39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Исходные данные и результаты расчета норм потребления товарного</w:t>
      </w:r>
      <w:r>
        <w:br/>
      </w:r>
      <w:r>
        <w:rPr>
          <w:rFonts w:ascii="Times New Roman"/>
          <w:b/>
          <w:i w:val="false"/>
          <w:color w:val="000000"/>
        </w:rPr>
        <w:t>и/или сжиженного нефтяного газа на отопление жилых зданий</w:t>
      </w:r>
      <w:r>
        <w:br/>
      </w:r>
      <w:r>
        <w:rPr>
          <w:rFonts w:ascii="Times New Roman"/>
          <w:b/>
          <w:i w:val="false"/>
          <w:color w:val="000000"/>
        </w:rPr>
        <w:t>(домов)</w:t>
      </w:r>
    </w:p>
    <w:bookmarkEnd w:id="239"/>
    <w:bookmarkStart w:name="z39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8.1. Используемые для расчета исходные данные и их источники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2435"/>
        <w:gridCol w:w="2049"/>
        <w:gridCol w:w="4741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исходных 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расчета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Климатические параметры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наружного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холодной пятидневки,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обеспеченностью 0,92,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конкретного региона принимается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хол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наружного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за отопительный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конкретного региона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отдельно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отопительного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для конкретного региона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отдельно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сут.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отопительный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солнечной радиации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поверхности (стены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окна) при действительных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облачности с учетом суммирования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четырем фасадам здания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ветра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 принимается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конкретного региона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микроклимата в помещениях жилых зданий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средняя температура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воздуха здания,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принимаемая по минимальным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значениям оптимальной температуры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зданий в интервале от плюс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плюс 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документация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Усредненные объемно-планировочные показатели жилых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характерной группы зданий)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 здания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высота здания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Отапливаемый объем здания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наружных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ограждающих конструкций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площадь световых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 жилого здания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F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площадь дверных проемов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 жилого здания (дома)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жилого здания (дома)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зд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(N + 1,5)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состояние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воздухопроницанию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конструкций стен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инф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ч х Па/кг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превышения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нормируемой воздухопроницаемости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СНГ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фактическая теплота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сгорания паровой фазы СНГ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региону за предшествующие 3...5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Мдж/кг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Средневзвешенный КПД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отопительных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(аппаратов и печей),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зависящий от условий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эксплуатации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ед.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8.2. Результаты расчетов норм потребления СНГ на отопление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2523"/>
        <w:gridCol w:w="4621"/>
        <w:gridCol w:w="736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результатов расчетов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теплопотери здания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ограждающие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отопительный период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теплопоступления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отопительного периода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бт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Теплопоступления через окна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солнечной радиации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периода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здания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периода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расход СНГ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здания за отопительный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кг/год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среднегодовой расход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на отопление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кг/год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норма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на отопление в расчете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мес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мес.)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норма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на отопление в расчете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отапливаемого объема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мес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мес.)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8.3. Результаты расчетов норм потребления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товарного газа на отопление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2589"/>
        <w:gridCol w:w="4580"/>
        <w:gridCol w:w="756"/>
      </w:tblGrid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результатов расчетов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теплопотери здания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ограждающие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отопительный период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тн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теплопоступления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отопительного периода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Теплопоступления через окна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солнечной радиации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периода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ср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здания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периода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расход товарного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здания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среднегодовой расход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газа на отопление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норма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газа на отопление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мес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хмес.)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норма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газа на отопление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мес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хмес.)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header.xml" Type="http://schemas.openxmlformats.org/officeDocument/2006/relationships/header" Id="rId1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