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5277" w14:textId="6fe5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25 ноября 1997 года № 1650 "Об утверждении Правил дорожного движения Республики Казахстан,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2011 года № 1479. Утратило силу постановлением Правительства Республики Казахстан от 13 ноября 2014 года № 1196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13.11.2014 </w:t>
      </w:r>
      <w:r>
        <w:rPr>
          <w:rFonts w:ascii="Times New Roman"/>
          <w:b w:val="false"/>
          <w:i w:val="false"/>
          <w:color w:val="ff0000"/>
          <w:sz w:val="28"/>
        </w:rPr>
        <w:t>№ 1196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ноября 1997 года № 1650 "Об утверждении Правил дорожного движения Республики Казахстан,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Правилах</w:t>
      </w:r>
      <w:r>
        <w:rPr>
          <w:rFonts w:ascii="Times New Roman"/>
          <w:b w:val="false"/>
          <w:i w:val="false"/>
          <w:color w:val="000000"/>
          <w:sz w:val="28"/>
        </w:rPr>
        <w:t xml:space="preserve"> дорожного движения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десятый изложить в следующей редакции:</w:t>
      </w:r>
      <w:r>
        <w:br/>
      </w:r>
      <w:r>
        <w:rPr>
          <w:rFonts w:ascii="Times New Roman"/>
          <w:b w:val="false"/>
          <w:i w:val="false"/>
          <w:color w:val="000000"/>
          <w:sz w:val="28"/>
        </w:rPr>
        <w:t>
      "главная дорога - дорога, обозначенная знаками 2.1, 2.3.1-2.3.3 или 5.1 по отношению к пересекаемой (примыкающей), или дорога с твердым покрытием (асфальто- и цементобетон, каменные материалы и тому подобное) по отношению к грунтовой. Наличие на второстепенной дороге непосредственно перед перекрестком участка с покрытием не делает ее равной по значению с пересекаемой;";</w:t>
      </w:r>
      <w:r>
        <w:br/>
      </w:r>
      <w:r>
        <w:rPr>
          <w:rFonts w:ascii="Times New Roman"/>
          <w:b w:val="false"/>
          <w:i w:val="false"/>
          <w:color w:val="000000"/>
          <w:sz w:val="28"/>
        </w:rPr>
        <w:t>
</w:t>
      </w:r>
      <w:r>
        <w:rPr>
          <w:rFonts w:ascii="Times New Roman"/>
          <w:b w:val="false"/>
          <w:i w:val="false"/>
          <w:color w:val="000000"/>
          <w:sz w:val="28"/>
        </w:rPr>
        <w:t>
      дополнить абзацем одиннадцатым следующего содержания:</w:t>
      </w:r>
      <w:r>
        <w:br/>
      </w:r>
      <w:r>
        <w:rPr>
          <w:rFonts w:ascii="Times New Roman"/>
          <w:b w:val="false"/>
          <w:i w:val="false"/>
          <w:color w:val="000000"/>
          <w:sz w:val="28"/>
        </w:rPr>
        <w:t>
      "газон (клумба) - участок земли с четко определенными границами, который в городском реестре земли определен как "газон" ("клумба");";</w:t>
      </w:r>
      <w:r>
        <w:br/>
      </w:r>
      <w:r>
        <w:rPr>
          <w:rFonts w:ascii="Times New Roman"/>
          <w:b w:val="false"/>
          <w:i w:val="false"/>
          <w:color w:val="000000"/>
          <w:sz w:val="28"/>
        </w:rPr>
        <w:t>
</w:t>
      </w:r>
      <w:r>
        <w:rPr>
          <w:rFonts w:ascii="Times New Roman"/>
          <w:b w:val="false"/>
          <w:i w:val="false"/>
          <w:color w:val="000000"/>
          <w:sz w:val="28"/>
        </w:rPr>
        <w:t>
      дополнить абзацем двадцатым и двадцать первым следующего содержания:</w:t>
      </w:r>
      <w:r>
        <w:br/>
      </w:r>
      <w:r>
        <w:rPr>
          <w:rFonts w:ascii="Times New Roman"/>
          <w:b w:val="false"/>
          <w:i w:val="false"/>
          <w:color w:val="000000"/>
          <w:sz w:val="28"/>
        </w:rPr>
        <w:t>
      "масса без нагрузки - масса транспортного средства без экипажа, пассажиров и груза, но с полным запасом топлива и необходимым комплектом инструмента;</w:t>
      </w:r>
      <w:r>
        <w:br/>
      </w:r>
      <w:r>
        <w:rPr>
          <w:rFonts w:ascii="Times New Roman"/>
          <w:b w:val="false"/>
          <w:i w:val="false"/>
          <w:color w:val="000000"/>
          <w:sz w:val="28"/>
        </w:rPr>
        <w:t>
      масса с нагрузкой - фактическая масса груженого транспортного средства, экипажа и пассажиров;";</w:t>
      </w:r>
      <w:r>
        <w:br/>
      </w:r>
      <w:r>
        <w:rPr>
          <w:rFonts w:ascii="Times New Roman"/>
          <w:b w:val="false"/>
          <w:i w:val="false"/>
          <w:color w:val="000000"/>
          <w:sz w:val="28"/>
        </w:rPr>
        <w:t>
</w:t>
      </w:r>
      <w:r>
        <w:rPr>
          <w:rFonts w:ascii="Times New Roman"/>
          <w:b w:val="false"/>
          <w:i w:val="false"/>
          <w:color w:val="000000"/>
          <w:sz w:val="28"/>
        </w:rPr>
        <w:t>
      дополнить абзацем двадцать пятым следующего содержания:</w:t>
      </w:r>
      <w:r>
        <w:br/>
      </w:r>
      <w:r>
        <w:rPr>
          <w:rFonts w:ascii="Times New Roman"/>
          <w:b w:val="false"/>
          <w:i w:val="false"/>
          <w:color w:val="000000"/>
          <w:sz w:val="28"/>
        </w:rPr>
        <w:t>
      "нерегулярные перевозки пассажиров и багажа - транспортные услуги, оказываемые перевозчиками с использованием автобусов, микроавтобусов, по заказам (заявкам) физических и юридических лиц;";</w:t>
      </w:r>
      <w:r>
        <w:br/>
      </w:r>
      <w:r>
        <w:rPr>
          <w:rFonts w:ascii="Times New Roman"/>
          <w:b w:val="false"/>
          <w:i w:val="false"/>
          <w:color w:val="000000"/>
          <w:sz w:val="28"/>
        </w:rPr>
        <w:t>
</w:t>
      </w:r>
      <w:r>
        <w:rPr>
          <w:rFonts w:ascii="Times New Roman"/>
          <w:b w:val="false"/>
          <w:i w:val="false"/>
          <w:color w:val="000000"/>
          <w:sz w:val="28"/>
        </w:rPr>
        <w:t>
      абзац тридцать четвертый изложить в следующей редакции:</w:t>
      </w:r>
      <w:r>
        <w:br/>
      </w:r>
      <w:r>
        <w:rPr>
          <w:rFonts w:ascii="Times New Roman"/>
          <w:b w:val="false"/>
          <w:i w:val="false"/>
          <w:color w:val="000000"/>
          <w:sz w:val="28"/>
        </w:rPr>
        <w:t>
      "перекресток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места пересечения (примыкания) с полевыми, лесными и другими второстепенными дорогами, перед которыми не установлены знаки приоритета;";</w:t>
      </w:r>
      <w:r>
        <w:br/>
      </w:r>
      <w:r>
        <w:rPr>
          <w:rFonts w:ascii="Times New Roman"/>
          <w:b w:val="false"/>
          <w:i w:val="false"/>
          <w:color w:val="000000"/>
          <w:sz w:val="28"/>
        </w:rPr>
        <w:t>
</w:t>
      </w:r>
      <w:r>
        <w:rPr>
          <w:rFonts w:ascii="Times New Roman"/>
          <w:b w:val="false"/>
          <w:i w:val="false"/>
          <w:color w:val="000000"/>
          <w:sz w:val="28"/>
        </w:rPr>
        <w:t>
      абзац сороковой изложить в следующей редакции:</w:t>
      </w:r>
      <w:r>
        <w:br/>
      </w:r>
      <w:r>
        <w:rPr>
          <w:rFonts w:ascii="Times New Roman"/>
          <w:b w:val="false"/>
          <w:i w:val="false"/>
          <w:color w:val="000000"/>
          <w:sz w:val="28"/>
        </w:rPr>
        <w:t>
      "препятствие для движения - неподвижный объект на полосе движения, не позволяющий продолжить движение по этой полосе. Не является препятствием затор или транспортное средство, остановившееся на этой полосе движения в соответствии с требованиями Правил;";</w:t>
      </w:r>
      <w:r>
        <w:br/>
      </w:r>
      <w:r>
        <w:rPr>
          <w:rFonts w:ascii="Times New Roman"/>
          <w:b w:val="false"/>
          <w:i w:val="false"/>
          <w:color w:val="000000"/>
          <w:sz w:val="28"/>
        </w:rPr>
        <w:t>
</w:t>
      </w:r>
      <w:r>
        <w:rPr>
          <w:rFonts w:ascii="Times New Roman"/>
          <w:b w:val="false"/>
          <w:i w:val="false"/>
          <w:color w:val="000000"/>
          <w:sz w:val="28"/>
        </w:rPr>
        <w:t>
      абзац сорок первый исключить;</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2.1.1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"документ о прохождении государственного или обязательного технического осмотра;";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"2.1.2. При движении на транспортном средстве, оборудованном ремнями безопасности, быть пристегнутым и не перевозить пассажиров, не пристегнутых ремнями.</w:t>
      </w:r>
      <w:r>
        <w:br/>
      </w:r>
      <w:r>
        <w:rPr>
          <w:rFonts w:ascii="Times New Roman"/>
          <w:b w:val="false"/>
          <w:i w:val="false"/>
          <w:color w:val="000000"/>
          <w:sz w:val="28"/>
        </w:rPr>
        <w:t>
      При управлении мотоциклом быть в застегнутом мотошлеме и не перевозить пассажиров без застегнутого мотошлема.";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"2.7.2. Эксплуатировать неисправное или не прошедшее государственный или обязательный технический осмотр транспортное средство.";</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Пешеходы должны пересекать проезжую часть по пешеходным переходам, в том числе по подземным и надземным, а при их отсутствии в пределах видимости - на перекрестках по линии тротуаров или обочин.";</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"открывать двери, а также высовываться в оконные проемы и люки транспортного средства во время его движения;";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"6.4. Водители транспортных средств с включенным проблесковым маячком оранжевого или желтого цвета при выполнении строительных, ремонтных или уборочных работ, мобильных групп оперативного реагирования частных охранных организаций на дороге могут отступать от требований дорожных знаков (кроме знаков 2.2, 2.4-2.6, 3.11-3.14, 3.17.2, 3.20) и разметки, а также пунктов 9.4-9.8 и 16.1 Правил при условии обеспечения безопасности движения. Водители других транспортных средств не должны препятствовать их работе.";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"8.3. При выезде на дорогу со второстепенной дороги водитель должен уступить дорогу транспортным средствам и пешеходам, движущимся по ней, а при съезде с дороги - пешеходам и велосипедистам, путь движения которых он пересекает.";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"на железнодорожных переездах, в тоннелях;";</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"на эстакадах, мостах, путепроводах (если для движения в данном направлении имеется менее трех полос) и под ними (независимо от количества полос);";</w:t>
      </w:r>
      <w:r>
        <w:br/>
      </w:r>
      <w:r>
        <w:rPr>
          <w:rFonts w:ascii="Times New Roman"/>
          <w:b w:val="false"/>
          <w:i w:val="false"/>
          <w:color w:val="000000"/>
          <w:sz w:val="28"/>
        </w:rPr>
        <w:t>
</w:t>
      </w:r>
      <w:r>
        <w:rPr>
          <w:rFonts w:ascii="Times New Roman"/>
          <w:b w:val="false"/>
          <w:i w:val="false"/>
          <w:color w:val="000000"/>
          <w:sz w:val="28"/>
        </w:rPr>
        <w:t>
      абзац восьмой изложить в следующей редакции:</w:t>
      </w:r>
      <w:r>
        <w:br/>
      </w:r>
      <w:r>
        <w:rPr>
          <w:rFonts w:ascii="Times New Roman"/>
          <w:b w:val="false"/>
          <w:i w:val="false"/>
          <w:color w:val="000000"/>
          <w:sz w:val="28"/>
        </w:rPr>
        <w:t>
      "на остановочных площадках и ближе 15 м к ним, а при их отсутствии - ближе 15 м от указателя остановки маршрутных транспортных средств или такси;";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"13.1. При повороте направо или налево водитель обязан уступить дорогу пешеходам, переходящим проезжую часть дороги по его направлению движения, на которую он поворачивает, велосипедистам, пересекающим ее по велосипедной дорожке, и маршрутным транспортным средствам, движущимся по полосе, обозначенной знаком 5.9 (с учетом пункта 18.2).";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"19.10. Проблесковый маячок оранжевого или желтого цвета должен быть включен на транспортных средствах при выполнении работ по строительству, ремонту или содержанию дорог, погрузке и транспортировке поврежденных, неисправных и иных транспортных средств; на транспортных средствах при осуществлении перевозок тяжеловесных, крупногабаритных грузов; на транспортных средствах, сопровождающих перевозку тяжеловесных, крупногабаритных и опасных грузов; на автобусах, предназначенных для перевозки организованных групп детей; на транспортных средствах мобильных групп оперативного реагирования частных охранных организаций при выезде на несанкционированные проникновения на охраняемые объекты.";</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пункта 22.8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переднем сидении механического транспортного средства при отсутствии специального детского удерживающего устройства.";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"Водитель гужевой повозки (саней) при выезде на дорогу со второстепенной дороги в местах с ограниченной обзорностью должен вести животное под уздцы.";</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Основных положениях</w:t>
      </w:r>
      <w:r>
        <w:rPr>
          <w:rFonts w:ascii="Times New Roman"/>
          <w:b w:val="false"/>
          <w:i w:val="false"/>
          <w:color w:val="000000"/>
          <w:sz w:val="28"/>
        </w:rPr>
        <w:t xml:space="preserve"> по допуску транспортных средств к эксплуатации и обязанности должностных лиц и участников дорожного движения по обеспечению безопасности дорожного движения,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Механические транспортные средства и прицепы должны быть зарегистрированы в дорожной полиции в течение срока действия регистрационного знака "Транзит" либо не позднее 10 суток с момента приобретения или таможенного декларирования.";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кроме того, размещается в правом нижнем углу ветрового стекла талон о прохождении государственного или обязательного технического осмотра.";</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"транспортных средств, не прошедших государственный или обязательный технический осмотр, а также переоборудованных без соответствующего разрешения;";</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государственный или обязательный технический осмотр, а равно владельцы которых в установленных законодательством случаях не заключили договор обязательного страхования ответственности владельцев транспортных средств и/или договор обязательного страхования ответственности перевозчика перед пассажирами;";</w:t>
      </w:r>
      <w:r>
        <w:br/>
      </w:r>
      <w:r>
        <w:rPr>
          <w:rFonts w:ascii="Times New Roman"/>
          <w:b w:val="false"/>
          <w:i w:val="false"/>
          <w:color w:val="000000"/>
          <w:sz w:val="28"/>
        </w:rPr>
        <w:t>
</w:t>
      </w:r>
      <w:r>
        <w:rPr>
          <w:rFonts w:ascii="Times New Roman"/>
          <w:b w:val="false"/>
          <w:i w:val="false"/>
          <w:color w:val="000000"/>
          <w:sz w:val="28"/>
        </w:rPr>
        <w:t>
      приложение дополнить пунктом 7.17 следующего содержания:</w:t>
      </w:r>
      <w:r>
        <w:br/>
      </w:r>
      <w:r>
        <w:rPr>
          <w:rFonts w:ascii="Times New Roman"/>
          <w:b w:val="false"/>
          <w:i w:val="false"/>
          <w:color w:val="000000"/>
          <w:sz w:val="28"/>
        </w:rPr>
        <w:t>
      "7.17. На государственных регистрационных номерных знаках установлены шторки, позволяющие скрывать буквенные и цифровые обозначения регистрационного номерного знака.";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перечень</w:t>
      </w:r>
      <w:r>
        <w:rPr>
          <w:rFonts w:ascii="Times New Roman"/>
          <w:b w:val="false"/>
          <w:i w:val="false"/>
          <w:color w:val="000000"/>
          <w:sz w:val="28"/>
        </w:rPr>
        <w:t xml:space="preserve">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утвержденный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Мобильные группы оперативного реагирования частных охранных организаций.".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