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c5d5" w14:textId="5ed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Беларусь, Правительством Республики Казахстан, Правительством Российской Федерации о предоставлении и обмене предварительной информацией о товарах и транспортных средствах,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Беларусь, Правительством Республики Казахстан, Правительством Российской Федерации о предоставлении и обмене предварительной информацией о товарах и транспортных средствах, перемещаемых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Правительством Республики Беларусь, Правительством Республики Казахстан, Правительством Российской Федерации о предоставлении и обмене предварительной информацией о товарах и транспортных средствах, перемещаемых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435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и об обмене предварительной информацией</w:t>
      </w:r>
      <w:r>
        <w:br/>
      </w:r>
      <w:r>
        <w:rPr>
          <w:rFonts w:ascii="Times New Roman"/>
          <w:b/>
          <w:i w:val="false"/>
          <w:color w:val="000000"/>
        </w:rPr>
        <w:t>
о товарах и транспортных средствах, перемещаемых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Российской Федерации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Таможенном кодексе таможенного союза от 27 ноября 2009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Рамочные стандарты безопасности и облегчения мировой торговли Всемирной таможенной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наладить эффективное взаимодействие и координацию деятельности таможенных органов государств Сторон в обеспечении таможенного контроля за товарами и транспортными средствами, перемещаемыми через таможенную границу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представления и обмена предварительной информацией о товарах и транспортных средствах, перемещаемых через таможенную границу таможенного союза, в целях минимизации рисков нарушений таможенного законодательства таможенного союза и законодательства государств-членов таможенного союза, а также совершенствования и ускорения совершения таможенных операций, повышения эффективности таможенного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таможенный орган государства-члена таможенного союза - Государственный таможенный комитет Республики Беларусь, Комитет таможенного контроля Министерства финансов Республики Казахстан,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- документ, который определяет структуру и формат электронных сообщений, которыми обмениваются таможенные органы государств-членов таможенного союза с использованием информационных систем, регламент обмена, способы обмена, требования к программным и техническим средствам информационных систем, а также к уникальному идентификационному номеру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- документ, определяющий порядок, форматы, способ и регламенты электронного обмена данными между автоматизированной системой таможенных органов и информационными системами заинтересованных лиц, представляющих предварительную информацию о товарах и транспортных средствах, планируемых к ввозу на территорию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номер перевозки (далее - УИНП) - уникальный номер предварительной информации, который присваивается таможенным органом государства-члена таможенного союза на каждую партию товара с использованием информационной системы.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операторы, перевозчики, в том числе таможенные перевозчики, таможенные представители и иные заинтересованные лица (далее - заинтересованные лица) могут представлять таможенным органам государств-членов таможенного союза в электронном виде предварительную информацию о товарах, предполагаемых к перемещению через таможенную границу, транспортных средствах, перемещающих такие товары, времени и месте прибытия товаров на таможенную территорию таможенного союза или убытия с такой территории, пассажирах, прибывающих на таможенную территорию таможенного союза или убывающих с такой территории (далее - предварительная информация).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представления предварительной информации определяется решением Комиссии таможенного союза в зависимости от вида транспорта, на котором перемещаются товары (далее - решение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введения обязательного представления предварительной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на котором перемещаются товары, через таможенную границу таможенного союза, в отношении которых вводится обязательное представление предварительной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сведений обязательной предварительной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должностных лиц таможенных органов в случае отсутствия обязательной предварительной информации в местах перемещения товаров и транспортных средств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необходимую для реализации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предварительной информации в обязательном порядке не требуется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и транспортных средств, перемещаемых физическими лицами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товаров, пересылаемых в международных почтовых отправлениях;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и транспортных средств, перемещаемых отдельными категориями иностранных лиц в соответствии с главой 45 Таможенного кодекса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и транспортных средств, перемещаемых для ликвидации последствий стихийных бедствий, аварий и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воинских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и центральные таможенные органы государств-членов таможенного союза обеспечивают публикацию решения Комиссии и его доведение до всех заинтересованных лиц, в том числе с использованием информационных технологий, в течение тридцати дней после подписания такого решения, но не позднее ста восьмидесяти дней до даты введения обязательного представления предварительной информации.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информация представляется на языке государства-члена таможенного союза, за исключением условных обозначений, используемых таможенными органами в качестве классификаторов.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 представляют предварительную информацию в отношении ввозимых товаров, предполагаемых к помещению под процедуру таможенного транзита в местах прибытия, в объеме сведений, определенных статьей 182 Таможенного кодекса таможенного союза, или частью второй статьи 3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ввозимых товаров и транспортных средств таможенная процедура таможенного транзита применяться не будет, заинтересованные лица представляют предварительную информацию в объеме сведений, определенных статьей 159 Таможенного кодекса таможенного союза.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предварительной информации осуществляется в электронном виде путем взаимодействия информационной системы таможенных органов государств-членов таможенного союза и информационных систем заинтересованных лиц либо посредством web-порталов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информационным системам заинтересованных лиц разрабатываются и публикуются для информирования заинтересованных лиц таможенным органом государства-члена таможенного союза.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информация должна быть направлена в таможенный орган государства-члена таможенного союза заинтересованным лицом не менее чем за 2 часа до перемещения через таможенную границу таможенного союза товаров 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предварительной информации составу сведений, ее структуре и формату, утвержденных техническими требованиями, заинтересованному лицу направляется электронное сообщение о непринятии предварительной информации к рассмотрению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ошибок в представленной предварительной информации заинтересованному лицу направляется электронное сообщение, содержащее УИНП.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перевозки на одном транспортном средстве нескольких товарных партий предварительная информация должна представляться на каждую товарную партию отдельно. Каждой товарной партии присваивается индивидуальный УИНП.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информация хранится в базе данных предварительной информации не менее 30 суток с даты присвоения УИНП.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фактического ввоза товаров и транспортных средств в пределах срока хранения предварительной информации не произошло, то данная предварительная информация аннулируется.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таможенных операций УИНП представляется заинтересованным лицом таможенному органу государства-члена таможенного союза в месте перемещения товаров и транспортных средств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 заинтересованного лица УИНП должностное лицо таможенного органа государства-члена таможенного союза должно выполнить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запросить по УИНП, посредством программных средств, предварительную информацию о товарах и транспортных средствах, содержащуюся в базах данных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сравнить сведения, содержащиеся в транспортных (перевозочных) и коммерческих документах (далее - документы), представленные перевозчиком, со сведениями, содержащимися в предварительной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проверить соблюдение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выполнить иные действия, установленные таможенным законодательством таможенного союза и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содержащихся в базах данных предварительной информации таможенных органов государств-членов таможенного союза, сведениям, содержащимся в документах, представленных перевозчиком, должностное лицо таможенного органа государства-члена таможенного союза принимает меры в соответствии с законодательством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базах данных таможенных органов государств-членов таможенного союза предварительной информации о товарах и транспортных средствах, представление которой обязательно, в соответствии со статьей 3 настоящего Соглашения таможенные операции осуществляются в соответствии с решением Комиссии.</w:t>
      </w:r>
    </w:p>
    <w:bookmarkEnd w:id="19"/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центральными таможенными органами государств-членов таможенного союза осуществляется обмен предварительной информацией о товарах и транспортных средствах в электронном виде.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статьи 9 настоящего Соглашения таможенные органы государств-членов таможенного союза разрабатывают и утверждают руководителями центральных таможенных органов государств-членов таможенного союза Технические условия организации обмена предварительной информацией о товарах и транспортных средствах, перемещаемых через таможенную границу таможенного союза.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Получаемая в соответствии с настоящим Соглашением информация носит конфиденциальный характер и должна использоваться исключительно для таможенных целей.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Соглашения ведется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которые могут возникнуть в ходе реализации или толкования положений настоящего Соглашения, будут решаться путем переговоров и консультаций.</w:t>
      </w:r>
    </w:p>
    <w:bookmarkEnd w:id="27"/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дополнительными протоколами к настоящему Соглашению, являющимися неотъемлемой частью настоящего Соглашения.</w:t>
      </w:r>
    </w:p>
    <w:bookmarkEnd w:id="29"/>
    <w:bookmarkStart w:name="z7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являются государства Сторон.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которым является Комиссия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соглашения.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За Правительство          За Правительство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 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Беларусь       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