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9a2c" w14:textId="f069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Правительства Республики Казахстан от 26 февраля 2009 года № 220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2009 года № 1382.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следующее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исполнения бюджета и его кассового обслуживания, утвержденные указанным постановлением, дополнить пунктом 157-1 следующего содержания:</w:t>
      </w:r>
      <w:r>
        <w:br/>
      </w:r>
      <w:r>
        <w:rPr>
          <w:rFonts w:ascii="Times New Roman"/>
          <w:b w:val="false"/>
          <w:i w:val="false"/>
          <w:color w:val="000000"/>
          <w:sz w:val="28"/>
        </w:rPr>
        <w:t>
      "157-1. По специфике экономической классификации расходов 421 "Строительство зданий и сооружений" допускается авансовая (предварительная) оплата в размере не более 50 процентов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