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665a0" w14:textId="b1665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ноября 2003 года N 1210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 и дополнение: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30.06.2011 </w:t>
      </w:r>
      <w:r>
        <w:rPr>
          <w:rFonts w:ascii="Times New Roman"/>
          <w:b w:val="false"/>
          <w:i w:val="false"/>
          <w:color w:val="000000"/>
          <w:sz w:val="28"/>
        </w:rPr>
        <w:t>№ 742</w:t>
      </w:r>
      <w:r>
        <w:rPr>
          <w:rFonts w:ascii="Times New Roman"/>
          <w:b w:val="false"/>
          <w:i w:val="false"/>
          <w:color w:val="ff0000"/>
          <w:sz w:val="28"/>
        </w:rPr>
        <w:t>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3 февраля 2003 года N 117 "О Плане законопроектных работ Правительства Республики Казахстан  на 2003 год":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законопроектных работ Правительства Республики Казахстан на 2003 год,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46-1, 46-2, исключить;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31.03.2006 N </w:t>
      </w:r>
      <w:r>
        <w:rPr>
          <w:rFonts w:ascii="Times New Roman"/>
          <w:b w:val="false"/>
          <w:i w:val="false"/>
          <w:color w:val="000000"/>
          <w:sz w:val="28"/>
        </w:rPr>
        <w:t>222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