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37e1" w14:textId="81a3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
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2003 года N 1060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поручения Президента Республики Казахстан по внедрению автоматизированной информационной системы составления списков избирателей, голосования, установления итогов голосования и определения результатов выборов, озвученного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Казахстана на 2004 год от 4 апреля 2003 года,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Центральной избирательной комиссии Республики Казахстан 100 000 000 (сто миллионов) тенге на финансирование реализации пилотной зоны проекта внедрения автоматизированной информационной системы-электронного голосования "Сайлау".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 определить поставщиками услуг по созданию автоматизированной информационной системы электронного голосования "Сайлау", как имеющей важное стратегическое значение, следующие организации Республики Беларусь: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Объединенный институт проблем информатики Национальной академии наук Беларуси (технология электронного голосования);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Научно-производственное объединение с ограниченной ответственностью "Тодес" (разработка программного обеспечения).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