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4bf" w14:textId="94c5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применению статьи 68 Уголовного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июня 2001 года N 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цифры "67" заменены цифрами "68"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Казахстан, обсудив итоги обобщения судебной практики освобождения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в связи с примирением лица, совершившего уголовное правонарушение с потерпевшим, заявителем, в целях единообразного применения судами названной нормы закона постановляет дать следующие разъяснения: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Правильное применение института примирения сторон способствует повышению роли и активности потерпевшего заявителем в уголовном процессе, полному и быстрому восстановлению их нарушенных прав и свобод, одновременно направлено на проявление гуманизма к лицам, совершившим уголовные правонарушения, впоследствии проявившим позитивное поведение, выразившееся в примирении с потерпевшим, заявителем и заглаживании вреда.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ведущий уголовный процесс, обязан разъяснять лицу, совершившему уголовное правонарушение, потерпевшему и заявителю право, основания и порядок примирения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досудебного расследования разъясняет потерпевшему и подозреваемому их право на примирение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 присутствии защитника подозреваемого, о чем составляется отдельный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ходатайства стороны о привлечении по делу медиатора для примирения сторон орган досудебного расследования не вправе отказать в его удовлетворении.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соглашения в процессе примирения, в том числе в порядке медиации, о возмещении вреда в будущем не может рассматриваться как заглаживание причиненного потерпевшему вреда, являющееся основанием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 чем орган досудебного расследования должен разъяснить подозреваемому и потерпевшему.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лицо, совершившее уголовный проступок, подлежит освобождению от уголовной ответственности, в случае, если им заглажен причиненный вред, и оно примирилось с потерпевшим, заявителем, или примирение состоялось в порядке медиации.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применяются в отношении лиц, совершивших преступление небольшой или средней тяжести, при наличии совокупности следующих оснований: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совершенное им уголовно-наказуемое деяние относится к категории преступлений небольшой или средней тяжести, не связанное с причинением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состоялось примирение лица, совершившего преступление, с потерпевшим, заявителем, а также в порядке медиации;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совершившее преступление, загладило причиненное преступлением потерпевшему, заявителю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хотя бы одного из перечисленных оснований применение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недопустимо.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имеет значения, лицо совершило уголовный проступок или преступление небольшой или средней тяжести впервые, либо в его действиях имеется неоднократность, совокупность или рецидив преступлений, отбыто ли им наказание по предыдущему приговору или новое преступление совершено в период отбывания наказания, либо в течение пробационного контроля или отсрочки исполнения приговора либо оставшейся неотбытой части наказания при условно-досрочном освобождении.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положений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68 УК следует учитывать, что указанные в статье основания прекращения дела не распространяются на дела об уголовных правонарушениях, предусмотренных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5, 7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решение вопроса о прекращении дела о совершении тяжкого преступления, не связанного с причинением смерти или тяжкого вреда здоровью человека, возможно, если данное преступление совершено впервые лицами, исчерпывающий перечень которых указан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применяются в отношении лиц, совершивших тяжкое преступление, не связанное с причинением смерти или тяжкого вреда здоровью человека, при наличии совокупности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тяжкое преступление, не связанное с причинением смерти или тяжкого вреда здоровью человека, совершено впервые, лицами, не достигшими совершеннолетия, беременными женщинами, женщинами, имеющих малолетних детей, мужчинами, воспитывающими в одиночку малолетних детей, женщинами в возрасте пятидесяти восьми и свыше лет, мужчинами в возрасте шестидесяти трех и свыше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совершенное виновным лицом деяние относится к категории тяжких преступлений, не связанных с причинением смерти или тяжкого вреда здоровью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состоялось примирение лица, совершившего преступление, с потерпевшим, заявителем, в том числе в порядке медиации;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совершившее преступление, загладило причиненное преступлением потерпевшему, заявителю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хотя бы одного из перечисленных оснований применение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недопустимо.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несовершеннолетнего лица от уголовной ответственности за совершение тяжкого преступления, не связанного с причинением смерти или тяжкого вреда здоровью человека, к нему применяются принудительные меры воспитательного воздействия.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решении вопроса о применении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лицу, совершившему тяжкое преступление, не связанное с причинением смерти или тяжкого вреда здоровью, под преступлением, совершенным впервые, следует понимать деяние, которое лицо фактически совершает в первый раз, либо деяние, совершенное не в первый раз, но если за ранее совершенное преступление лицо было в установленном законом порядке освобождено от уголовной ответственности или полностью освобождено от наказания, либо судимость была погашена или снята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два и более преступлений (при неоднократности или реальной совокупности), в целом не может быть признано лицом, совершившим преступление впервые. В то же время по первому эпизоду обвинения лицо следует считать совершившим преступление впервые.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вреду, подлежащему заглаживанию лицом, совершившим уголовное правонарушение, следует относить любой вред, причиненный потерпевшему, заявителю уголовным правонарушением: моральный, физический и имущественный, при этом должны учитываться не только прямые, но и косвенные потери, связанные с уголовным правонарушением, в том числе расходы, понесенные в связи с участием на предварительном следствии и в суде, включая расходы на представителя.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Заглаживание вреда может выражаться в восстановлении поврежденного имущества, возврате похищенного или предоставлении равноценного имущества, выплате денежной компенсации, приобретении лекарств, санаторно-курортных путевок, принесения извинения потерпевшему, заявителю и других формах, не запрещенных законом.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Надлежит тщательно выяснять, какой именно вред причинен потерпевшему, заявителю и в полном ли объеме он заглажен лицом, совершившим уголовное правонарушение. Компенсация за причиненный вред должна быть достаточной с точки зрения потерпевшего, заявителя, а не лица, совершившего уголовное правонарушение.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уголовного преследования и суд не вправе изменять требования потерпевшего, заявителя об объеме вреда, подлежащего заглаживанию.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спора между сторонами об объеме возмещения вреда свидетельствует о том, что примирение не состоялось, и в этой ситуации лицо, совершившее уголовное правонарушение, не может быть освобождено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вреда должно быть реальным, предшествовать примирению сторон и принятию решения об освобождении лица, совершившего уголовное правонарушение, от уголовной ответственности. Добровольный отказ потерпевшего, заявителя от требований к лицу, совершившему уголовное правонарушение, о заглаживании вреда не может расцениваться как невыполнение им обязанности загладить этот вред и сам по себе не может быть препятствием для примирения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имеет значения, кем заглажен вред: самим лицом, совершившим уголовное правонарушение, или по его просьбе родственниками, другими лицами либо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Примирение выражается в просьбе потерпевшего, заявителя прекратить уголовное дело, возбужденное против лица, совершившего уголовное правонарушение. Волеизъявление потерпевшего, заявителя оформляется письменным заявлением или отражается в протоколах его допроса на стадии предварительного расследования либо в протоколе судебного заседания.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ходатайстве потерпевшего, заявителя о смягчении наказания обвиняемому (подсудимому) в связи с отсутствием к нему материальных претензий орган, ведущий уголовный процесс, обязан выяснять, состоялось ли между лицом, совершившим уголовное правонарушение, и потерпевшим, заявителем примирение, и имеются ли иные основания, необходимые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Факт добровольного и свободного волеизъявления потерпевшим, заявителем при осуществлении им права на примирение входит в предмет доказывания по делу. Заявление потерпевшего, заявителя о примирении, поданное под принуждением со стороны кого бы то ни было, не может служить основанием для освобождения лица, совершившего уголовное правонарушение, от уголовной ответственности.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других лиц (родственников, друзей, сослуживцев, представителей государственных организаций или общественных объединений и т.д.) с согласия сторон в процедуре примирения само по себе не исключает добровольности и свободы волеизъявления потерпевшим, заявителем права на примирение.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уголовного преследования и суд не вправе участвовать в каких бы то ни было целях в самом процессе примирения сторон, они лишь должны разъяснять потерпевшему, заявителю и лицу, совершившему уголовное правонарушение, право, основания и порядок примирения.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Органам уголовного преследования и судам необходимо строго соблюдать требования закона при придании лицам статуса потерпевшего, исключить из практики случаи как необоснованного отказа в признании потерпевшим, так и незаконного наделения правами потерпевшего лиц, которые фактически таковыми не являются.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потерпевшим может быть как физическое, так и юридическое лицо. Органы уголовного преследования и суд должны проверять полномочия представителя юридического лица, участвующего в деле в качестве представителя потерпевшего, на примирение с лицом, совершившим преступление. Такие полномочия должны быть отражены в доверенности на участие в деле.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Освобождение лица от уголовной ответственности в связи примирением на основании частей первой,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допускается лишь при наличии потерпевшего (физического или юридического лица), заявителя.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лицо, указанное в части первой или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может быть освобождено от уголовной ответственности и при отсутствии потерпевшего, заявителя при условии, что оно чистосердечно раскаялось и загладило вред, причиненный уголовным правонарушением, охраняемым законом интересам общества или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коррупционных преступлениях, перечень которых дан в пункте 29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допустимо.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 на прекращение уголовного дела с освобождением лица от уголовной ответственности на основании частей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имеют: на досудебной стадии - прокурор и с его согласия следователь или орган дознания, на стадии судебного разбирательства - суд (судья) по ходатайству стороны или по собственной инициативе.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9-2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Примирение с лицом, совершившим преступление, несовершеннолетнего потерпевшего (в возрасте от четырнадцати до восемнадцати лет) либо признанного ограниченно дееспособным возможно лишь с согласия законного представителя потерпевшего.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которые могут быть законными представителями, определен в пункте 13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расширительному толкованию не подлежит.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(Освобождение от уголовной ответственности в связи с примирением) не применяются в случаях, указанных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требований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(обратная сила уголовного закона) положения пункта 8)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распространяются лишь на лиц, ранее освобожденных от уголовной ответственности в связи с примирением сторон за преступление, совершенное после 10 января 2020 года.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давности привлечения к уголовной ответственности за преступление, по которому лицо было освобождено от уголовной ответственности в связи с примирением сторон, исчисляется по правилам части первой статьи 71 УК с момента совершения данного преступления за исключением случаев, предусмотренных частью четвертой статьи 71 УК.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10-1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Близкими родственниками потерпевшего являются его родители, дети, усыновители (удочерители), усыновленные (удочеренные), полнородные и не полнородные братья и сестры, дедушка, бабушка, внуки. Этот перечень лиц, содержащийся в 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является исчерпывающим и расширительному толкованию не подлежит.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законом норма, предусмотренная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обязательна для применения органами уголовного преследования и судом при наличии указанной в ней совокупности оснований для освобождения лица от уголовной ответственности.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Неразъяснение органом досудебного расследования подозреваемому и (или) потерпевшему их прав, предусмотренных пунктом 15)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8)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неприменение им правил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 наличии согласия сторон на примирение, являются существенным нарушением закона. При установлении указанных нарушений суд обязан частным постановлением довести об этом до сведения прокурора для принятия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нормативного постановления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Применение норм закона, предусмотренных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является необязательной (факультативной).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указанных норм закона надлежит учитывать наряду с позицией потерпевших, заявителей, характер и степень общественной опасности деяния, данные, характеризующие лицо, совершившее уголовное правонарушение, наступившие последствия от уголовного правонарушения и другие существенные обстоятельства дела.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13-1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Верховного Суда РК от 11.07.2003 N 6;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 прекращением производства по делу в части, возможно, и при наличии совокупности и неоднократности преступлений в отношении тех преступлений и эпизодов, по которым примирение достигнуто. При этом производство по преступлениям, по которым примирение не состоялось или законом не допустимо, продолжается в соответствии с УПК.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совершения преступления в соучастии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возможно в отношении только тех лиц, которые примирились с потерпевшим, заявителем. Производство по делу в отношении соучастников преступления, которые не достигли примирения с потерпевшим, заявителем, продолжается в соответствии с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неоднократных преступлениях, рассматриваемых в одном производстве, лицо, в отношении которого по предыдущему эпизоду обвинения применены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не относится к числу лиц, перечисленных в пункте 8)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поскольку на момент совершения последующего преступления это лицо не являлось лицом, ранее освобожденным от уголовной ответственности в связи с примирением сторон за ранее совершенное преступление.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13-2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Верховного Суда РК от 11.07.2003 N 6;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Закон допускает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 делам о преступлениях, одновременно посягающих на два и более объекта (например, хулиганство, воинские преступления и т.д.). По такой категории дел орган, ведущий уголовный процесс, обязан в соответствии с законом признавать потерпевшими всех лиц (в том числе и юридических лиц), которым непосредственно преступлением причинен моральный, физический или имущественный вред.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примирение не состоялось хотя бы с одним из потерпевших, лицо, совершившее преступление, освобождению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наличии оснований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первой,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примечаниями к </w:t>
      </w:r>
      <w:r>
        <w:rPr>
          <w:rFonts w:ascii="Times New Roman"/>
          <w:b w:val="false"/>
          <w:i w:val="false"/>
          <w:color w:val="000000"/>
          <w:sz w:val="28"/>
        </w:rPr>
        <w:t>статьям 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суд вправе прекратить уголовное дело либо постановить обвинительный приговор с освобождением лица, совершившего преступление, от уголовной ответственности.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прекращении уголовного дела может быть вынесено на стадии предварительного слушания и на любой стадии главного судебного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может быть постановлен лишь по завершению главного судебного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постановляется и в тех случаях, когда суд признает, что в действиях лица, переданного суду по обвинению в совершении тяжкого или особо тяжкого преступления, фактически содержится состав по которому может быть применена </w:t>
      </w:r>
      <w:r>
        <w:rPr>
          <w:rFonts w:ascii="Times New Roman"/>
          <w:b w:val="false"/>
          <w:i w:val="false"/>
          <w:color w:val="000000"/>
          <w:sz w:val="28"/>
        </w:rPr>
        <w:t>статья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Прекращение уголовного дела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закон относит к освобождению от уголовной ответственности по нереабилитирующим основаниям. До прекращения дела лицу, совершившему преступление, и потерпевшему, заявителю должны быть разъяснены правовые последствия основания прекращения дела и право на возражение против прекращения по этому основанию. Потерпевшему, заявителю также следует разъяснить, что он не вправе после прекращения дела по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ставить вопрос о возобновлении уголовного преследования в отношении того же лица по тому же обвинению.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прекращение дела не допускается, если подозреваемый, обвиняемый, подсудимый или потерпевший, заявитель против этого возражают. В таком случае производство по делу продолжается в обычном порядке.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о прекращении уголовного дела, вынесенное органом уголовного преследования или судом, а также приговор должны отвечать общим требованиям, предъявляемым законом к таким процессуальным документам (соответственно части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Помимо того в нем должна быть также дана юридическая оценка деянию с указанием категории преступления по степени тяжести, отмечена добровольность состоявшегося примирения, указано, в чем конкретно заключалось заглаживание причиненного вреда, а в случаях применения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лицу, совершившему тяжкое преступление, не связанного с причинением смерти или тяжкого вреда здоровью человека, кроме того, подтверждено, что лицо впервые совершило это преступление. &lt;*&gt;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Заявление о примирении возможно только на стадии досудебного расследования и в суде первой и апелляционной инстанции. Орган уголовного преследования и суд обязаны при наличии предусмотренной законом совокупности оснований для освобождения лица от уголовной ответственности в связи с примирением с потерпевшим, заявителем, обсудить вопрос о применении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мотивировать принятое решение.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суде кассационной инстанции освобождение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допустимо только в том случае, если в суде первой или апелляционной инстанции были установлены обстоятельства, дающие основания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однако суд незаконно или необоснованно не применил этот закон.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20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Пленума,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