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303b" w14:textId="fce3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 и некоторых вопросах регулирования внешней электронной торговли колесными транспортными средствами</w:t>
      </w:r>
    </w:p>
    <w:p>
      <w:pPr>
        <w:spacing w:after="0"/>
        <w:ind w:left="0"/>
        <w:jc w:val="both"/>
      </w:pPr>
      <w:r>
        <w:rPr>
          <w:rFonts w:ascii="Times New Roman"/>
          <w:b w:val="false"/>
          <w:i w:val="false"/>
          <w:color w:val="000000"/>
          <w:sz w:val="28"/>
        </w:rPr>
        <w:t>Решение Совета Евразийской экономической комиссии от 19 ноября 2025 года № 118.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пунктом 2 </w:t>
      </w:r>
      <w:r>
        <w:rPr>
          <w:rFonts w:ascii="Times New Roman"/>
          <w:b w:val="false"/>
          <w:i w:val="false"/>
          <w:color w:val="000000"/>
          <w:sz w:val="28"/>
        </w:rPr>
        <w:t>статьи 7</w:t>
      </w:r>
      <w:r>
        <w:rPr>
          <w:rFonts w:ascii="Times New Roman"/>
          <w:b w:val="false"/>
          <w:i w:val="false"/>
          <w:color w:val="000000"/>
          <w:sz w:val="28"/>
        </w:rPr>
        <w:t xml:space="preserve"> и пунктом 1 </w:t>
      </w:r>
      <w:r>
        <w:rPr>
          <w:rFonts w:ascii="Times New Roman"/>
          <w:b w:val="false"/>
          <w:i w:val="false"/>
          <w:color w:val="000000"/>
          <w:sz w:val="28"/>
        </w:rPr>
        <w:t>статьи 309</w:t>
      </w:r>
      <w:r>
        <w:rPr>
          <w:rFonts w:ascii="Times New Roman"/>
          <w:b w:val="false"/>
          <w:i w:val="false"/>
          <w:color w:val="000000"/>
          <w:sz w:val="28"/>
        </w:rPr>
        <w:t xml:space="preserve"> Таможенного кодекса Евразийского экономического союза, </w:t>
      </w:r>
      <w:r>
        <w:rPr>
          <w:rFonts w:ascii="Times New Roman"/>
          <w:b w:val="false"/>
          <w:i w:val="false"/>
          <w:color w:val="000000"/>
          <w:sz w:val="28"/>
        </w:rPr>
        <w:t>пунктом 2</w:t>
      </w:r>
      <w:r>
        <w:rPr>
          <w:rFonts w:ascii="Times New Roman"/>
          <w:b w:val="false"/>
          <w:i w:val="false"/>
          <w:color w:val="000000"/>
          <w:sz w:val="28"/>
        </w:rPr>
        <w:t xml:space="preserve"> плана мероприятий ("дорожной карты") по созданию благоприятных условий для развития электронной торговли в рамках Евразийского экономического союза, утвержденного Решением Евразийского межправительственного совета от 19 ноября 2021 г. № 10, </w:t>
      </w:r>
      <w:r>
        <w:rPr>
          <w:rFonts w:ascii="Times New Roman"/>
          <w:b w:val="false"/>
          <w:i w:val="false"/>
          <w:color w:val="000000"/>
          <w:sz w:val="28"/>
        </w:rPr>
        <w:t>пунктом 33</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Порядок</w:t>
      </w:r>
      <w:r>
        <w:rPr>
          <w:rFonts w:ascii="Times New Roman"/>
          <w:b w:val="false"/>
          <w:i w:val="false"/>
          <w:color w:val="000000"/>
          <w:sz w:val="28"/>
        </w:rPr>
        <w:t xml:space="preserve">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 утвержденный Решением Совета Евразийской экономической комиссии от 12 ноября 2021 г. № 130,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Владение, пользование и (или) распоряжение колесными транспортными средствами (шасси), выпущенными в обращение c даты вступления в силу настоящего абзаца в Республике Армения, Республике Беларусь, Кыргызской Республике и Российской Федерации в соответствии с подпунктом "в" пункта 10 Порядка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 не допускаются на территории Республики Казахстан юридическими лицами Республики Казахстан и физическими лицами, имеющими гражданство Республики Казахстан и (или) постоянное место жительства в Республике Казахстан.</w:t>
      </w:r>
    </w:p>
    <w:bookmarkEnd w:id="2"/>
    <w:bookmarkStart w:name="z7" w:id="3"/>
    <w:p>
      <w:pPr>
        <w:spacing w:after="0"/>
        <w:ind w:left="0"/>
        <w:jc w:val="both"/>
      </w:pPr>
      <w:r>
        <w:rPr>
          <w:rFonts w:ascii="Times New Roman"/>
          <w:b w:val="false"/>
          <w:i w:val="false"/>
          <w:color w:val="000000"/>
          <w:sz w:val="28"/>
        </w:rPr>
        <w:t>
      Владение, пользование и (или) распоряжение ввозимыми (ввезенными) на таможенную территорию Евразийского экономического союза колесными транспортными средствами (шасси), являющимися товарами электронной торговли, предназначенными для реализации физическим лицам и выпущенными в обращение в государствах – членах Евразийского экономического союза, не допускаются на территории Республики Казахстан или территории Российской Федерации юридическими лицами Республики Казахстан и Российской Федерации, а также физическими лицами, имеющими гражданство Республики Казахстан или Российской Федерации и (или) постоянное место жительства в Республике Казахстан или Российской Федерации соответственно.</w:t>
      </w:r>
    </w:p>
    <w:bookmarkEnd w:id="3"/>
    <w:bookmarkStart w:name="z8" w:id="4"/>
    <w:p>
      <w:pPr>
        <w:spacing w:after="0"/>
        <w:ind w:left="0"/>
        <w:jc w:val="both"/>
      </w:pPr>
      <w:r>
        <w:rPr>
          <w:rFonts w:ascii="Times New Roman"/>
          <w:b w:val="false"/>
          <w:i w:val="false"/>
          <w:color w:val="000000"/>
          <w:sz w:val="28"/>
        </w:rPr>
        <w:t>
      Положения настоящего пункта не ограничивают временное нахождение и использование на территории Республики Казахстан или территории Российской Федерации транспортных средств для грузовых и пассажирских перевозок, зарегистрированных в других государствах – членах Евразийского экономического союза, а также транспортных средств для личного пользования (для собственных нужд), принадлежащих физическим лицам других государств – членов Евразийского экономического союза.</w:t>
      </w:r>
    </w:p>
    <w:bookmarkEnd w:id="4"/>
    <w:bookmarkStart w:name="z9" w:id="5"/>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за исключением пункта 2 настоящего Решения и пунктов 1 и 3 изменений (приложение к настоящему Решению).</w:t>
      </w:r>
    </w:p>
    <w:bookmarkEnd w:id="5"/>
    <w:bookmarkStart w:name="z10" w:id="6"/>
    <w:p>
      <w:pPr>
        <w:spacing w:after="0"/>
        <w:ind w:left="0"/>
        <w:jc w:val="both"/>
      </w:pPr>
      <w:r>
        <w:rPr>
          <w:rFonts w:ascii="Times New Roman"/>
          <w:b w:val="false"/>
          <w:i w:val="false"/>
          <w:color w:val="000000"/>
          <w:sz w:val="28"/>
        </w:rPr>
        <w:t>
      Абзацы первый и третий пункта 2 настоящего Решения вступают в силу по истечении 30 календарных дней с даты вступления настоящего Решения в силу.</w:t>
      </w:r>
    </w:p>
    <w:bookmarkEnd w:id="6"/>
    <w:bookmarkStart w:name="z11" w:id="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w:t>
      </w:r>
      <w:r>
        <w:rPr>
          <w:rFonts w:ascii="Times New Roman"/>
          <w:b w:val="false"/>
          <w:i w:val="false"/>
          <w:color w:val="000000"/>
          <w:sz w:val="28"/>
        </w:rPr>
        <w:t xml:space="preserve"> настоящего Решения и пункты 1 и 3 изменений (приложение к настоящему Решению) вступают в силу с даты вступления в силу Протокола о внесении изменений в Договор о Таможенном кодексе Евразийского экономического союза от 11 апреля 2017 года, подписанного 25 декабря 2023 г.</w:t>
      </w:r>
    </w:p>
    <w:bookmarkEnd w:id="7"/>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декабря 2025 г. № 118</w:t>
            </w:r>
          </w:p>
        </w:tc>
      </w:tr>
    </w:tbl>
    <w:bookmarkStart w:name="z14" w:id="9"/>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Порядок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 </w:t>
      </w:r>
    </w:p>
    <w:bookmarkEnd w:id="9"/>
    <w:bookmarkStart w:name="z1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"а"</w:t>
      </w:r>
      <w:r>
        <w:rPr>
          <w:rFonts w:ascii="Times New Roman"/>
          <w:b w:val="false"/>
          <w:i w:val="false"/>
          <w:color w:val="000000"/>
          <w:sz w:val="28"/>
        </w:rPr>
        <w:t xml:space="preserve"> пункта 5 изложить в следующей редакции:</w:t>
      </w:r>
    </w:p>
    <w:bookmarkEnd w:id="10"/>
    <w:bookmarkStart w:name="z16" w:id="11"/>
    <w:p>
      <w:pPr>
        <w:spacing w:after="0"/>
        <w:ind w:left="0"/>
        <w:jc w:val="both"/>
      </w:pPr>
      <w:r>
        <w:rPr>
          <w:rFonts w:ascii="Times New Roman"/>
          <w:b w:val="false"/>
          <w:i w:val="false"/>
          <w:color w:val="000000"/>
          <w:sz w:val="28"/>
        </w:rPr>
        <w:t>
      "а) выпуск для внутреннего потребления, за исключением:</w:t>
      </w:r>
    </w:p>
    <w:bookmarkEnd w:id="11"/>
    <w:bookmarkStart w:name="z17" w:id="12"/>
    <w:p>
      <w:pPr>
        <w:spacing w:after="0"/>
        <w:ind w:left="0"/>
        <w:jc w:val="both"/>
      </w:pPr>
      <w:r>
        <w:rPr>
          <w:rFonts w:ascii="Times New Roman"/>
          <w:b w:val="false"/>
          <w:i w:val="false"/>
          <w:color w:val="000000"/>
          <w:sz w:val="28"/>
        </w:rPr>
        <w:t>
      случая помещения под эту таможенную процедуру продукции, в отношении которой соблюдение мер технического регулирования было подтверждено при помещении под таможенную процедуру свободной таможенной зоны в соответствии с подпунктом "б" настоящего пункта, если на момент регистрации таможенным органом декларации на товары документ, подтверждающий соблюдение мер технического регулирования при ввозе такой продукции, является действующим;</w:t>
      </w:r>
    </w:p>
    <w:bookmarkEnd w:id="12"/>
    <w:bookmarkStart w:name="z18" w:id="13"/>
    <w:p>
      <w:pPr>
        <w:spacing w:after="0"/>
        <w:ind w:left="0"/>
        <w:jc w:val="both"/>
      </w:pPr>
      <w:r>
        <w:rPr>
          <w:rFonts w:ascii="Times New Roman"/>
          <w:b w:val="false"/>
          <w:i w:val="false"/>
          <w:color w:val="000000"/>
          <w:sz w:val="28"/>
        </w:rPr>
        <w:t>
      случая, предусмотренного абзацем пятым пункта 11 настоящего Порядка;</w:t>
      </w:r>
    </w:p>
    <w:bookmarkEnd w:id="13"/>
    <w:bookmarkStart w:name="z19" w:id="14"/>
    <w:p>
      <w:pPr>
        <w:spacing w:after="0"/>
        <w:ind w:left="0"/>
        <w:jc w:val="both"/>
      </w:pPr>
      <w:r>
        <w:rPr>
          <w:rFonts w:ascii="Times New Roman"/>
          <w:b w:val="false"/>
          <w:i w:val="false"/>
          <w:color w:val="000000"/>
          <w:sz w:val="28"/>
        </w:rPr>
        <w:t xml:space="preserve">
      случая, предусмотренного пунктом 2 статьи 246 Таможенного кодекса;". </w:t>
      </w:r>
    </w:p>
    <w:bookmarkEnd w:id="14"/>
    <w:bookmarkStart w:name="z20"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"в"</w:t>
      </w:r>
      <w:r>
        <w:rPr>
          <w:rFonts w:ascii="Times New Roman"/>
          <w:b w:val="false"/>
          <w:i w:val="false"/>
          <w:color w:val="000000"/>
          <w:sz w:val="28"/>
        </w:rPr>
        <w:t xml:space="preserve"> пункта 10 дополнить предложением следующего содержания: "Положения настоящего подпункта не применяются в Республике Казахстан для ввоза колесных транспортных средств (шасси).". </w:t>
      </w:r>
    </w:p>
    <w:bookmarkEnd w:id="15"/>
    <w:bookmarkStart w:name="z21" w:id="16"/>
    <w:p>
      <w:pPr>
        <w:spacing w:after="0"/>
        <w:ind w:left="0"/>
        <w:jc w:val="both"/>
      </w:pPr>
      <w:r>
        <w:rPr>
          <w:rFonts w:ascii="Times New Roman"/>
          <w:b w:val="false"/>
          <w:i w:val="false"/>
          <w:color w:val="000000"/>
          <w:sz w:val="28"/>
        </w:rPr>
        <w:t>
      3. Дополнить пунктом 11 следующего содержания:</w:t>
      </w:r>
    </w:p>
    <w:bookmarkEnd w:id="16"/>
    <w:bookmarkStart w:name="z22" w:id="17"/>
    <w:p>
      <w:pPr>
        <w:spacing w:after="0"/>
        <w:ind w:left="0"/>
        <w:jc w:val="both"/>
      </w:pPr>
      <w:r>
        <w:rPr>
          <w:rFonts w:ascii="Times New Roman"/>
          <w:b w:val="false"/>
          <w:i w:val="false"/>
          <w:color w:val="000000"/>
          <w:sz w:val="28"/>
        </w:rPr>
        <w:t>
      "11. В случае если ввозимая (ввезенная) продукция, указанная в пункте 2 настоящего Порядка, является товаром электронной торговли, предназначенным для реализации физическим лицам, соблюдение мер технического регулирования в отношении такой продукции подтверждается c учетом следующих особенностей:</w:t>
      </w:r>
    </w:p>
    <w:bookmarkEnd w:id="17"/>
    <w:bookmarkStart w:name="z23" w:id="18"/>
    <w:p>
      <w:pPr>
        <w:spacing w:after="0"/>
        <w:ind w:left="0"/>
        <w:jc w:val="both"/>
      </w:pPr>
      <w:r>
        <w:rPr>
          <w:rFonts w:ascii="Times New Roman"/>
          <w:b w:val="false"/>
          <w:i w:val="false"/>
          <w:color w:val="000000"/>
          <w:sz w:val="28"/>
        </w:rPr>
        <w:t xml:space="preserve">
      продукция помещается под таможенную процедуру таможенного склада без подтверждения соблюдения мер технического регулирования; </w:t>
      </w:r>
    </w:p>
    <w:bookmarkEnd w:id="18"/>
    <w:bookmarkStart w:name="z24" w:id="19"/>
    <w:p>
      <w:pPr>
        <w:spacing w:after="0"/>
        <w:ind w:left="0"/>
        <w:jc w:val="both"/>
      </w:pPr>
      <w:r>
        <w:rPr>
          <w:rFonts w:ascii="Times New Roman"/>
          <w:b w:val="false"/>
          <w:i w:val="false"/>
          <w:color w:val="000000"/>
          <w:sz w:val="28"/>
        </w:rPr>
        <w:t>
      документы, подтверждающие соблюдение мер технического регулирования, должны находиться у декларанта указанной продукции на момент подачи оператором электронной торговли таможенному органу уведомления о вывозе такой продукции из сооружений, помещений (частей помещений) и (или) с открытых площадок (частей открытых площадок), находящихся в собственности, хозяйственном ведении, оперативном управлении или аренде у оператора электронной торговли (далее – сооружения (помещения, площадки)), для доставки физическому лицу, являющемуся ее получателем;</w:t>
      </w:r>
    </w:p>
    <w:bookmarkEnd w:id="19"/>
    <w:bookmarkStart w:name="z25" w:id="20"/>
    <w:p>
      <w:pPr>
        <w:spacing w:after="0"/>
        <w:ind w:left="0"/>
        <w:jc w:val="both"/>
      </w:pPr>
      <w:r>
        <w:rPr>
          <w:rFonts w:ascii="Times New Roman"/>
          <w:b w:val="false"/>
          <w:i w:val="false"/>
          <w:color w:val="000000"/>
          <w:sz w:val="28"/>
        </w:rPr>
        <w:t>
      документы об оценке соответствия, представляемые в таможенный орган для подтверждения соблюдения мер технического регулирования, должны быть действительны на дату подачи оператором электронной торговли таможенному органу уведомления о вывозе такой продукции из сооружений (помещений, площадок) для доставки физическому лицу, являющемуся ее получателем;</w:t>
      </w:r>
    </w:p>
    <w:bookmarkEnd w:id="20"/>
    <w:bookmarkStart w:name="z26" w:id="21"/>
    <w:p>
      <w:pPr>
        <w:spacing w:after="0"/>
        <w:ind w:left="0"/>
        <w:jc w:val="both"/>
      </w:pPr>
      <w:r>
        <w:rPr>
          <w:rFonts w:ascii="Times New Roman"/>
          <w:b w:val="false"/>
          <w:i w:val="false"/>
          <w:color w:val="000000"/>
          <w:sz w:val="28"/>
        </w:rPr>
        <w:t xml:space="preserve">
      документы, подтверждающие соблюдение мер технического регулирования, или сведения о них представляются при подаче оператором электронной торговли таможенному органу уведомления о вывозе такой продукции из сооружений (помещений, площадок) для доставки физическому лицу, являющемуся ее получателем, в соответствии с законодательством государств-членов о таможенном регулировании; </w:t>
      </w:r>
    </w:p>
    <w:bookmarkEnd w:id="21"/>
    <w:bookmarkStart w:name="z27" w:id="22"/>
    <w:p>
      <w:pPr>
        <w:spacing w:after="0"/>
        <w:ind w:left="0"/>
        <w:jc w:val="both"/>
      </w:pPr>
      <w:r>
        <w:rPr>
          <w:rFonts w:ascii="Times New Roman"/>
          <w:b w:val="false"/>
          <w:i w:val="false"/>
          <w:color w:val="000000"/>
          <w:sz w:val="28"/>
        </w:rPr>
        <w:t>
      сведения о документах, подтверждающих соблюдение мер технического регулирования, должны содержаться в уведомлении таможенного органа о вывозе такой продукции из сооружений (помещений, площадок) для доставки физическому лицу, являющемуся ее получателем.</w:t>
      </w:r>
    </w:p>
    <w:bookmarkEnd w:id="22"/>
    <w:bookmarkStart w:name="z28" w:id="23"/>
    <w:p>
      <w:pPr>
        <w:spacing w:after="0"/>
        <w:ind w:left="0"/>
        <w:jc w:val="both"/>
      </w:pPr>
      <w:r>
        <w:rPr>
          <w:rFonts w:ascii="Times New Roman"/>
          <w:b w:val="false"/>
          <w:i w:val="false"/>
          <w:color w:val="000000"/>
          <w:sz w:val="28"/>
        </w:rPr>
        <w:t>
      Таможенный орган вправе отказать в вывозе такой продукции из сооружений (помещений, площадок) для доставки физическому лицу, являющемуся ее получателем, в случае отсутствия в уведомлении сведений о документах, подтверждающих соблюдение мер технического регулирования.".</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