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3249" w14:textId="c423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категорий скорости, указываемых в нанесенной на шину маркировке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2025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скорости, указываемых в нанесенной на шину маркировке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обеспечении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2025 г. № 65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категорий скорости, указываемых в нанесенной на шину маркировке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категории скорости 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максимально допускаемой скорости 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категорий скорости, указываемых в нанесенной на шину маркировке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070 - 2025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2025 г. № 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09.08.2025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 шинах, которыми укомплектованы транспортные средства, в части обозначения максимальной скорости, которую может выдержать шина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рамках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скорость, категория скорости, шина, транспортное средство, электронный паспорт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 гармонизирован с классификатором GPC (Global Product Classification) GS1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метод использования части доверенного источника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 случае исключения значения запись справочника отмечается как недействующая с даты исключения с указанием сведений об 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 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полей, области их значений и правила формирования) указана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справочника 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частотой обновления доверенного источника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https://nsi.eaeunion.org/portal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2"/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раздел определяет структуру и реквизитный состав справочника, в том числе области значений реквизитов и правила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формирования.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2. Структура и реквизитный состав справочника приведены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таблице, в которой формируются следующие поля (графы):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устоявшееся или официальное словесное обозначение реквизита;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2"/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n..* – реквизит обязателен, должен повторяться не менее n раз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(n &gt; 1);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n..m – реквизит обязателен, должен повторяться не менее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раз и не более m раз (n &gt; 1, m &gt; n);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6"/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0..m – реквизит опционален, может повторяться не более m раз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(m &gt; 1).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категориях скорости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категории скорости 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[A-Z]|[A-Z][1-9]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обозначению скоростной категории в доверенном источнике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Значение максимально допускаемой скорости 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значение максимально допускаемой скорости для соответствующей скоростной категории (км/ч)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 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 Сведения об акте, регламентирующем начало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1.3.2.1. 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1.3.2.2. 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1.3.2.3. Дата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 Сведения об акте, регламентирующем окончание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1.3.4.1. Код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1.3.4.2. 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1.3.4.3. Дата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