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804d3" w14:textId="c9804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классификации модуля-активатора газогенераторного в соответствии с единой Товарной номенклатурой внешнеэкономической деятельности Евразийского экономического союза</w:t>
      </w:r>
    </w:p>
    <w:p>
      <w:pPr>
        <w:spacing w:after="0"/>
        <w:ind w:left="0"/>
        <w:jc w:val="both"/>
      </w:pPr>
      <w:r>
        <w:rPr>
          <w:rFonts w:ascii="Times New Roman"/>
          <w:b w:val="false"/>
          <w:i w:val="false"/>
          <w:color w:val="000000"/>
          <w:sz w:val="28"/>
        </w:rPr>
        <w:t>Решение Коллегии Евразийской экономической комиссии от 18 февраля 2025 года № 19</w:t>
      </w:r>
    </w:p>
    <w:p>
      <w:pPr>
        <w:spacing w:after="0"/>
        <w:ind w:left="0"/>
        <w:jc w:val="both"/>
      </w:pPr>
      <w:bookmarkStart w:name="z4" w:id="0"/>
      <w:r>
        <w:rPr>
          <w:rFonts w:ascii="Times New Roman"/>
          <w:b w:val="false"/>
          <w:i w:val="false"/>
          <w:color w:val="000000"/>
          <w:sz w:val="28"/>
        </w:rPr>
        <w:t xml:space="preserve">
      В соответствии с абзацем первым </w:t>
      </w:r>
      <w:r>
        <w:rPr>
          <w:rFonts w:ascii="Times New Roman"/>
          <w:b w:val="false"/>
          <w:i w:val="false"/>
          <w:color w:val="000000"/>
          <w:sz w:val="28"/>
        </w:rPr>
        <w:t>пункта 1</w:t>
      </w:r>
      <w:r>
        <w:rPr>
          <w:rFonts w:ascii="Times New Roman"/>
          <w:b w:val="false"/>
          <w:i w:val="false"/>
          <w:color w:val="000000"/>
          <w:sz w:val="28"/>
        </w:rPr>
        <w:t xml:space="preserve"> статьи 22 Таможенного кодекса Евразийского экономического союза Коллегия Евразийской экономической комиссии </w:t>
      </w:r>
      <w:r>
        <w:rPr>
          <w:rFonts w:ascii="Times New Roman"/>
          <w:b/>
          <w:i w:val="false"/>
          <w:color w:val="000000"/>
          <w:sz w:val="28"/>
        </w:rPr>
        <w:t>решил</w:t>
      </w:r>
      <w:r>
        <w:rPr>
          <w:rFonts w:ascii="Times New Roman"/>
          <w:b/>
          <w:i w:val="false"/>
          <w:color w:val="000000"/>
          <w:sz w:val="28"/>
        </w:rPr>
        <w:t>а:</w:t>
      </w:r>
    </w:p>
    <w:bookmarkEnd w:id="0"/>
    <w:bookmarkStart w:name="z5" w:id="1"/>
    <w:p>
      <w:pPr>
        <w:spacing w:after="0"/>
        <w:ind w:left="0"/>
        <w:jc w:val="both"/>
      </w:pPr>
      <w:r>
        <w:rPr>
          <w:rFonts w:ascii="Times New Roman"/>
          <w:b w:val="false"/>
          <w:i w:val="false"/>
          <w:color w:val="000000"/>
          <w:sz w:val="28"/>
        </w:rPr>
        <w:t>
      1. Модуль-активатор газогенераторный, представляющий собой цилиндрический полимерный корпус, снабженный заглушками с обоих торцов, в одной из которых закреплен пусковой элемент с выводами проводов, наполненный порошкообразной окислительной композицией на основе хлората натрия (от 80% до 99%) с добавлением технологических добавок (не относящихся к взрывчатым веществам), являющийся пиротехническим изделием в незавершенном виде, перед применением которого на месте непосредственного использования необходимо добавить внутрь корпуса дизельное топливо (или масло, или спирт, или иное горючее вещество), предназначенный для щадящего откола кусков от массива горных пород при добыче блочного и поделочного камня в карьерах, аккуратного разрушения скальных пород и при разборке бетонных и железобетонных строительных конструкций, в соответствии с Основными правилами интерпретации Товарной номенклатуры внешнеэкономической деятельности 1, 2 (а) и 6 классифицируется в субпозиции 3604 90 000 0 единой Товарной номенклатуры внешнеэкономической деятельности Евразийского экономического союза.</w:t>
      </w:r>
    </w:p>
    <w:bookmarkEnd w:id="1"/>
    <w:bookmarkStart w:name="z6" w:id="2"/>
    <w:p>
      <w:pPr>
        <w:spacing w:after="0"/>
        <w:ind w:left="0"/>
        <w:jc w:val="both"/>
      </w:pPr>
      <w:r>
        <w:rPr>
          <w:rFonts w:ascii="Times New Roman"/>
          <w:b w:val="false"/>
          <w:i w:val="false"/>
          <w:color w:val="000000"/>
          <w:sz w:val="28"/>
        </w:rPr>
        <w:t>
      2. Настоящее Решение вступает в силу по истечении 30 календарных дней с даты его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