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ba8" w14:textId="3f33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 г. № 257,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"Товары, содержащие объекты интеллектуальной собственности, включенные в национальный таможенный реестр объектов интеллектуальной собственности государства – члена Союза (далее – таможенный реестр объектов интеллектуальной собственности), в котором эти товары помещаются под таможенную процедуру, и (или) единый таможенный реестр объектов интеллектуальной собственности государств – членов Союза, декларируются отдельно от товаров, не содержащих объекты интеллектуальной собственности, включенные в указанный реестр (реестры).";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пункте 15: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подпункта 29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декларировании товаров, содержащих объекты интеллектуальной собственности, включенные в таможенный реестр объектов интеллектуальной собственности и (или) единый таможенный реестр объектов интеллектуальной собственности государств – членов Союза, дополнительно указывается (при наличии) регистрационный номер (номера) объекта интеллектуальной собственности в соответствии с этим реестром (реестрами). Указание нескольких регистрационных номеров при подаче ДТ в виде электронного документа осуществляется путем заполнения соответствующих реквизитов структуры ДТ, а при подаче ДТ в виде документа на бумажном носителе – через запятую.";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подпункта 31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в соответствии с классификатором сведений об объектах интеллектуальной собственности;".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 апреля 2025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