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dd6" w14:textId="3bee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машин свекловичных ботворезных и машин свеклоуборочных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2022 года № 100.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машин свекловичных ботворезных и машин свеклоуборочных, классифицируемых кодом 8433 53 300 0 ТН ВЭД ЕАЭС, в размере 0 процентов от таможенной стоимости с даты вступления в силу настоящего Решения по 30 июня 2024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8433 53 300 0 ТН ВЭД ЕАЭС в графе четвертой дополнить ссылкой на примечание "68С)";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68С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"68С)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21 июня 2022 г. № 100 по 30.06.2024 включительно.".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Внести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следующие изменения: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8433 53 300 0 ТН ВЭД ЕАЭС в графе третьей дополнить знаком сноски "19";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сноской 19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Ставка ввозной таможенной пошлины применяется с 1 июля 2024 г.".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 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