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73a986" w14:textId="c73a98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временном порядке перечисления сумм ввозных таможенных, специальных, антидемпинговых и компенсационных пошлин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Высшего Евразийского экономического совета от 18 мая 2022 года № 1.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Высший Евразийский экономический совет </w:t>
      </w:r>
      <w:r>
        <w:rPr>
          <w:rFonts w:ascii="Times New Roman"/>
          <w:b/>
          <w:i w:val="false"/>
          <w:color w:val="000000"/>
          <w:sz w:val="28"/>
        </w:rPr>
        <w:t>реши</w:t>
      </w:r>
      <w:r>
        <w:rPr>
          <w:rFonts w:ascii="Times New Roman"/>
          <w:b/>
          <w:i w:val="false"/>
          <w:color w:val="000000"/>
          <w:sz w:val="28"/>
        </w:rPr>
        <w:t>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 Правительствам государств – членов Евразийского экономического союза (далее – государства-члены) и национальным (центральным) банкам государств-членов совместно с Евразийской экономической комиссией оперативно подготовить проект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в части, касающейся Протокола о порядке зачисления и распределения сумм ввозных таможенных пошлин (иных пошлин, налогов и сборов, имеющих эквивалентное действие), их перечисления в доход бюджетов государств-членов (</w:t>
      </w:r>
      <w:r>
        <w:rPr>
          <w:rFonts w:ascii="Times New Roman"/>
          <w:b w:val="false"/>
          <w:i w:val="false"/>
          <w:color w:val="000000"/>
          <w:sz w:val="28"/>
        </w:rPr>
        <w:t>приложение №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Договору о Евразийском экономическом союзе от 29 мая 2014 года), предусмотрев в нем положения, указанные в пункте 2 настоящего Решения, и применение этих положений в отношении правоотношений, возникших с 1 января 2022 г., и представить его для рассмотрения на очередном заседании Высшего Евразийского экономического совета.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 Государствам-членам временно, по взаимному согласованию, до вступления в силу Протокола о внесении изменений в </w:t>
      </w:r>
      <w:r>
        <w:rPr>
          <w:rFonts w:ascii="Times New Roman"/>
          <w:b w:val="false"/>
          <w:i w:val="false"/>
          <w:color w:val="000000"/>
          <w:sz w:val="28"/>
        </w:rPr>
        <w:t>Договор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года, указанного в пункте 1 настоящего Решения, исходить из возможности осуществлять исполнение возникших с 1 января 2022 г. встречных обязательств по перечислению денежных средств в счет сумм ввозных таможенных, специальных, антидемпинговых и компенсационных пошлин также и в российских рублях (по официальным курсам национальных валют, установленным национальными (центральными) банками государств-членов на рабочий день, следующий за датой перечисления денежных средств в национальной валюте). 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исходить из того, что пени за неисполнение либо ненадлежащее исполнение указанных обязательств национальными (центральными) банками государств-членов не начисляются с 1 января по 30 июня 2022 г.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 Настоящее Решение вступает в силу с даты его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Члены Высшего Евразийского экономического совета: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Армения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Беларусь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Республики Казахстан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Кыргызской Республики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tbl>
            <w:tblPr>
              <w:tblW w:w="0" w:type="auto"/>
              <w:tblCellSpacing w:w="0" w:type="auto"/>
              <w:tblBorders>
                <w:top w:val="none"/>
                <w:left w:val="none"/>
                <w:bottom w:val="none"/>
                <w:right w:val="none"/>
                <w:insideH w:val="none"/>
                <w:insideV w:val="none"/>
              </w:tblBorders>
              <w:tblLayout w:type="fixed"/>
            </w:tblPr>
            <w:tblGrid>
              <w:gridCol w:w="12000"/>
            </w:tblGrid>
            <w:tr>
              <w:trPr>
                <w:trHeight w:val="30" w:hRule="atLeast"/>
              </w:trPr>
              <w:tc>
                <w:tcPr>
                  <w:tcW w:w="12000" w:type="dxa"/>
                  <w:tcBorders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</w:tcPr>
                <w:p>
                  <w:pPr>
                    <w:spacing w:after="0"/>
                    <w:ind w:left="0"/>
                    <w:jc w:val="left"/>
                  </w:pP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  <w:r>
                    <w:rPr>
                      <w:rFonts w:ascii="Times New Roman"/>
                      <w:b w:val="false"/>
                      <w:i/>
                      <w:color w:val="000000"/>
                      <w:sz w:val="20"/>
                    </w:rPr>
                    <w:t>От Российской Федерации</w:t>
                  </w:r>
                  <w:r>
                    <w:rPr>
                      <w:rFonts w:ascii="Times New Roman"/>
                      <w:b w:val="false"/>
                      <w:i w:val="false"/>
                      <w:color w:val="000000"/>
                      <w:sz w:val="20"/>
                    </w:rPr>
                    <w:t>
</w:t>
                  </w:r>
                </w:p>
              </w:tc>
            </w:tr>
          </w:tbl>
          <w:p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