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574" w14:textId="1695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Методику расчета и порядок наложения штрафов за нарушение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октября 2020 года № 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118,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сроки, указанные в абзацах первом и втором настоящего пункта, не включается срок, на который рассмотрение дела было приостановлено по основанию, указанному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Изменение, предусмотренное настоящим Решением, применяется при введении мер, указанных в подпункте 3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99, и вступивших в силу в установленном законодательством государств – членов Евразийского экономического союза порядке не ранее даты вступления в силу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